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9F55D" w14:textId="7689C947" w:rsidR="00852AF6" w:rsidRPr="00852AF6" w:rsidRDefault="00852AF6" w:rsidP="00852AF6">
      <w:pPr>
        <w:rPr>
          <w:b/>
          <w:bCs/>
        </w:rPr>
      </w:pPr>
      <w:r w:rsidRPr="00852AF6">
        <w:rPr>
          <w:b/>
          <w:bCs/>
        </w:rPr>
        <w:t>Project S Whitepaper V</w:t>
      </w:r>
      <w:r>
        <w:rPr>
          <w:rFonts w:hint="eastAsia"/>
          <w:b/>
          <w:bCs/>
        </w:rPr>
        <w:t>1</w:t>
      </w:r>
      <w:r w:rsidRPr="00852AF6">
        <w:rPr>
          <w:b/>
          <w:bCs/>
        </w:rPr>
        <w:t>.0</w:t>
      </w:r>
    </w:p>
    <w:p w14:paraId="61F6BBB6" w14:textId="77777777" w:rsidR="00852AF6" w:rsidRPr="00852AF6" w:rsidRDefault="00852AF6" w:rsidP="00852AF6">
      <w:pPr>
        <w:rPr>
          <w:b/>
          <w:bCs/>
        </w:rPr>
      </w:pPr>
      <w:r w:rsidRPr="00852AF6">
        <w:rPr>
          <w:b/>
          <w:bCs/>
        </w:rPr>
        <w:t>SPC Solar Power Coin &amp; SLC Sun Light Coin</w:t>
      </w:r>
    </w:p>
    <w:p w14:paraId="518C2788" w14:textId="77777777" w:rsidR="00852AF6" w:rsidRPr="00852AF6" w:rsidRDefault="00852AF6" w:rsidP="00852AF6">
      <w:pPr>
        <w:rPr>
          <w:b/>
          <w:bCs/>
        </w:rPr>
      </w:pPr>
      <w:r w:rsidRPr="00852AF6">
        <w:rPr>
          <w:b/>
          <w:bCs/>
        </w:rPr>
        <w:t>The Next-Generation Energy RWA Ecosystem for the AI Economy</w:t>
      </w:r>
    </w:p>
    <w:p w14:paraId="08D57443" w14:textId="34D76FAE" w:rsidR="00852AF6" w:rsidRPr="00852AF6" w:rsidRDefault="00852AF6" w:rsidP="00852AF6">
      <w:r w:rsidRPr="00852AF6">
        <w:rPr>
          <w:b/>
          <w:bCs/>
        </w:rPr>
        <w:t>Document Version:</w:t>
      </w:r>
      <w:r w:rsidRPr="00852AF6">
        <w:t xml:space="preserve"> Institutional Draft v</w:t>
      </w:r>
      <w:r>
        <w:rPr>
          <w:rFonts w:hint="eastAsia"/>
        </w:rPr>
        <w:t>1</w:t>
      </w:r>
      <w:r w:rsidRPr="00852AF6">
        <w:t>.0</w:t>
      </w:r>
      <w:r w:rsidRPr="00852AF6">
        <w:br/>
      </w:r>
      <w:r w:rsidRPr="00852AF6">
        <w:rPr>
          <w:b/>
          <w:bCs/>
        </w:rPr>
        <w:t>Asset Class:</w:t>
      </w:r>
      <w:r w:rsidRPr="00852AF6">
        <w:t xml:space="preserve"> Energy RWA, Renewable Infrastructure, </w:t>
      </w:r>
      <w:proofErr w:type="spellStart"/>
      <w:r w:rsidRPr="00852AF6">
        <w:t>DePIN</w:t>
      </w:r>
      <w:proofErr w:type="spellEnd"/>
      <w:r w:rsidRPr="00852AF6">
        <w:t>, Tokenized Real-World Assets, Dual-Token Economy</w:t>
      </w:r>
      <w:r w:rsidRPr="00852AF6">
        <w:br/>
      </w:r>
      <w:r w:rsidRPr="00852AF6">
        <w:rPr>
          <w:b/>
          <w:bCs/>
        </w:rPr>
        <w:t>Core Thesis:</w:t>
      </w:r>
      <w:r w:rsidRPr="00852AF6">
        <w:t xml:space="preserve"> In the age of artificial intelligence, electricity becomes programmable collateral.</w:t>
      </w:r>
    </w:p>
    <w:p w14:paraId="7FD9D85F" w14:textId="77777777" w:rsidR="00852AF6" w:rsidRPr="00852AF6" w:rsidRDefault="00852AF6" w:rsidP="00852AF6">
      <w:r w:rsidRPr="00852AF6">
        <w:pict w14:anchorId="5E4FC8E8">
          <v:rect id="_x0000_i1169" style="width:0;height:1.5pt" o:hralign="center" o:hrstd="t" o:hr="t" fillcolor="#a0a0a0" stroked="f"/>
        </w:pict>
      </w:r>
    </w:p>
    <w:p w14:paraId="634EB0E4" w14:textId="77777777" w:rsidR="00852AF6" w:rsidRPr="00852AF6" w:rsidRDefault="00852AF6" w:rsidP="00852AF6">
      <w:pPr>
        <w:rPr>
          <w:b/>
          <w:bCs/>
        </w:rPr>
      </w:pPr>
      <w:r w:rsidRPr="00852AF6">
        <w:rPr>
          <w:b/>
          <w:bCs/>
        </w:rPr>
        <w:t>0. Executive Abstract</w:t>
      </w:r>
    </w:p>
    <w:p w14:paraId="5CE508BF" w14:textId="77777777" w:rsidR="00852AF6" w:rsidRPr="00852AF6" w:rsidRDefault="00852AF6" w:rsidP="00852AF6">
      <w:r w:rsidRPr="00852AF6">
        <w:t xml:space="preserve">Project S is a next-generation </w:t>
      </w:r>
      <w:r w:rsidRPr="00852AF6">
        <w:rPr>
          <w:b/>
          <w:bCs/>
        </w:rPr>
        <w:t>Energy RWA Real-World Asset protocol</w:t>
      </w:r>
      <w:r w:rsidRPr="00852AF6">
        <w:t xml:space="preserve"> designed to bridge physical renewable energy infrastructure with blockchain-based financial markets.</w:t>
      </w:r>
    </w:p>
    <w:p w14:paraId="598D7322" w14:textId="77777777" w:rsidR="00852AF6" w:rsidRPr="00852AF6" w:rsidRDefault="00852AF6" w:rsidP="00852AF6">
      <w:r w:rsidRPr="00852AF6">
        <w:t xml:space="preserve">As artificial intelligence, large-scale data centers, electric vehicles, and decentralized computing networks expand globally, electricity is no longer a passive utility cost. It is becoming one of the most strategically important inputs of the digital economy. The International Energy Agency projects that global data center electricity consumption could more than double to approximately 945 TWh by 2030, with AI identified as the most important driver of this growth. </w:t>
      </w:r>
    </w:p>
    <w:p w14:paraId="2286C0D6" w14:textId="77777777" w:rsidR="00852AF6" w:rsidRPr="00852AF6" w:rsidRDefault="00852AF6" w:rsidP="00852AF6">
      <w:r w:rsidRPr="00852AF6">
        <w:t>Project S transforms this macroeconomic shift into an investable, programmable, and transparent digital asset ecosystem.</w:t>
      </w:r>
    </w:p>
    <w:p w14:paraId="26A09149" w14:textId="77777777" w:rsidR="00852AF6" w:rsidRPr="00852AF6" w:rsidRDefault="00852AF6" w:rsidP="00852AF6">
      <w:r w:rsidRPr="00852AF6">
        <w:t>The protocol is built around two complementary tokens: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7"/>
        <w:gridCol w:w="1325"/>
        <w:gridCol w:w="6984"/>
      </w:tblGrid>
      <w:tr w:rsidR="00852AF6" w:rsidRPr="00852AF6" w14:paraId="6D27CB91" w14:textId="77777777">
        <w:trPr>
          <w:tblHeader/>
          <w:tblCellSpacing w:w="15" w:type="dxa"/>
        </w:trPr>
        <w:tc>
          <w:tcPr>
            <w:tcW w:w="0" w:type="auto"/>
            <w:vAlign w:val="center"/>
            <w:hideMark/>
          </w:tcPr>
          <w:p w14:paraId="78F25231" w14:textId="77777777" w:rsidR="00852AF6" w:rsidRPr="00852AF6" w:rsidRDefault="00852AF6" w:rsidP="00852AF6">
            <w:pPr>
              <w:rPr>
                <w:b/>
                <w:bCs/>
              </w:rPr>
            </w:pPr>
            <w:r w:rsidRPr="00852AF6">
              <w:rPr>
                <w:b/>
                <w:bCs/>
              </w:rPr>
              <w:t>Token</w:t>
            </w:r>
          </w:p>
        </w:tc>
        <w:tc>
          <w:tcPr>
            <w:tcW w:w="0" w:type="auto"/>
            <w:vAlign w:val="center"/>
            <w:hideMark/>
          </w:tcPr>
          <w:p w14:paraId="0348163E" w14:textId="77777777" w:rsidR="00852AF6" w:rsidRPr="00852AF6" w:rsidRDefault="00852AF6" w:rsidP="00852AF6">
            <w:pPr>
              <w:rPr>
                <w:b/>
                <w:bCs/>
              </w:rPr>
            </w:pPr>
            <w:r w:rsidRPr="00852AF6">
              <w:rPr>
                <w:b/>
                <w:bCs/>
              </w:rPr>
              <w:t>Full Name</w:t>
            </w:r>
          </w:p>
        </w:tc>
        <w:tc>
          <w:tcPr>
            <w:tcW w:w="0" w:type="auto"/>
            <w:vAlign w:val="center"/>
            <w:hideMark/>
          </w:tcPr>
          <w:p w14:paraId="7F8A067C" w14:textId="77777777" w:rsidR="00852AF6" w:rsidRPr="00852AF6" w:rsidRDefault="00852AF6" w:rsidP="00852AF6">
            <w:pPr>
              <w:rPr>
                <w:b/>
                <w:bCs/>
              </w:rPr>
            </w:pPr>
            <w:r w:rsidRPr="00852AF6">
              <w:rPr>
                <w:b/>
                <w:bCs/>
              </w:rPr>
              <w:t>Primary Role</w:t>
            </w:r>
          </w:p>
        </w:tc>
      </w:tr>
      <w:tr w:rsidR="00852AF6" w:rsidRPr="00852AF6" w14:paraId="0B2DC041" w14:textId="77777777">
        <w:trPr>
          <w:tblCellSpacing w:w="15" w:type="dxa"/>
        </w:trPr>
        <w:tc>
          <w:tcPr>
            <w:tcW w:w="0" w:type="auto"/>
            <w:vAlign w:val="center"/>
            <w:hideMark/>
          </w:tcPr>
          <w:p w14:paraId="2AB968A5" w14:textId="77777777" w:rsidR="00852AF6" w:rsidRPr="00852AF6" w:rsidRDefault="00852AF6" w:rsidP="00852AF6">
            <w:r w:rsidRPr="00852AF6">
              <w:rPr>
                <w:b/>
                <w:bCs/>
              </w:rPr>
              <w:t>SPC</w:t>
            </w:r>
          </w:p>
        </w:tc>
        <w:tc>
          <w:tcPr>
            <w:tcW w:w="0" w:type="auto"/>
            <w:vAlign w:val="center"/>
            <w:hideMark/>
          </w:tcPr>
          <w:p w14:paraId="25F05C3B" w14:textId="77777777" w:rsidR="00852AF6" w:rsidRPr="00852AF6" w:rsidRDefault="00852AF6" w:rsidP="00852AF6">
            <w:r w:rsidRPr="00852AF6">
              <w:t>Solar Power Coin</w:t>
            </w:r>
          </w:p>
        </w:tc>
        <w:tc>
          <w:tcPr>
            <w:tcW w:w="0" w:type="auto"/>
            <w:vAlign w:val="center"/>
            <w:hideMark/>
          </w:tcPr>
          <w:p w14:paraId="110F188E" w14:textId="77777777" w:rsidR="00852AF6" w:rsidRPr="00852AF6" w:rsidRDefault="00852AF6" w:rsidP="00852AF6">
            <w:r w:rsidRPr="00852AF6">
              <w:t>Energy RWA reference token linked to renewable power generation, SMP, REC, staking, and real-world utility</w:t>
            </w:r>
          </w:p>
        </w:tc>
      </w:tr>
      <w:tr w:rsidR="00852AF6" w:rsidRPr="00852AF6" w14:paraId="1C45DF94" w14:textId="77777777">
        <w:trPr>
          <w:tblCellSpacing w:w="15" w:type="dxa"/>
        </w:trPr>
        <w:tc>
          <w:tcPr>
            <w:tcW w:w="0" w:type="auto"/>
            <w:vAlign w:val="center"/>
            <w:hideMark/>
          </w:tcPr>
          <w:p w14:paraId="753527B8" w14:textId="77777777" w:rsidR="00852AF6" w:rsidRPr="00852AF6" w:rsidRDefault="00852AF6" w:rsidP="00852AF6">
            <w:r w:rsidRPr="00852AF6">
              <w:rPr>
                <w:b/>
                <w:bCs/>
              </w:rPr>
              <w:t>SLC</w:t>
            </w:r>
          </w:p>
        </w:tc>
        <w:tc>
          <w:tcPr>
            <w:tcW w:w="0" w:type="auto"/>
            <w:vAlign w:val="center"/>
            <w:hideMark/>
          </w:tcPr>
          <w:p w14:paraId="1341C132" w14:textId="77777777" w:rsidR="00852AF6" w:rsidRPr="00852AF6" w:rsidRDefault="00852AF6" w:rsidP="00852AF6">
            <w:r w:rsidRPr="00852AF6">
              <w:t>Sun Light Coin</w:t>
            </w:r>
          </w:p>
        </w:tc>
        <w:tc>
          <w:tcPr>
            <w:tcW w:w="0" w:type="auto"/>
            <w:vAlign w:val="center"/>
            <w:hideMark/>
          </w:tcPr>
          <w:p w14:paraId="5C9D5EAC" w14:textId="77777777" w:rsidR="00852AF6" w:rsidRPr="00852AF6" w:rsidRDefault="00852AF6" w:rsidP="00852AF6">
            <w:r w:rsidRPr="00852AF6">
              <w:t>Ecosystem utility, liquidity, governance, fee, buyback, and incentive token</w:t>
            </w:r>
          </w:p>
        </w:tc>
      </w:tr>
    </w:tbl>
    <w:p w14:paraId="3F9EE43E" w14:textId="77777777" w:rsidR="00852AF6" w:rsidRPr="00852AF6" w:rsidRDefault="00852AF6" w:rsidP="00852AF6">
      <w:r w:rsidRPr="00852AF6">
        <w:t xml:space="preserve">Project S is not designed as a speculative token economy detached from real-world productivity. It is designed as a </w:t>
      </w:r>
      <w:r w:rsidRPr="00852AF6">
        <w:rPr>
          <w:b/>
          <w:bCs/>
        </w:rPr>
        <w:t>Watt-to-Value Protocol</w:t>
      </w:r>
      <w:r w:rsidRPr="00852AF6">
        <w:t>, where verified electricity production, renewable energy certificates, energy market prices, and real-world utility flows are converted into transparent on-chain economic activity.</w:t>
      </w:r>
    </w:p>
    <w:p w14:paraId="4DA6F032" w14:textId="77777777" w:rsidR="00852AF6" w:rsidRPr="00852AF6" w:rsidRDefault="00852AF6" w:rsidP="00852AF6">
      <w:r w:rsidRPr="00852AF6">
        <w:t>The central idea is simple:</w:t>
      </w:r>
    </w:p>
    <w:p w14:paraId="1859878E" w14:textId="77777777" w:rsidR="00852AF6" w:rsidRPr="00852AF6" w:rsidRDefault="00852AF6" w:rsidP="00852AF6">
      <w:r w:rsidRPr="00852AF6">
        <w:rPr>
          <w:b/>
          <w:bCs/>
        </w:rPr>
        <w:t>AI requires computation. Computation requires electricity. Verified electricity production becomes the new productive collateral of the AI economy.</w:t>
      </w:r>
    </w:p>
    <w:p w14:paraId="3DB220D0" w14:textId="77777777" w:rsidR="00852AF6" w:rsidRPr="00852AF6" w:rsidRDefault="00852AF6" w:rsidP="00852AF6">
      <w:r w:rsidRPr="00852AF6">
        <w:pict w14:anchorId="35DB4A64">
          <v:rect id="_x0000_i1170" style="width:0;height:1.5pt" o:hralign="center" o:hrstd="t" o:hr="t" fillcolor="#a0a0a0" stroked="f"/>
        </w:pict>
      </w:r>
    </w:p>
    <w:p w14:paraId="75A19750" w14:textId="77777777" w:rsidR="00852AF6" w:rsidRPr="00852AF6" w:rsidRDefault="00852AF6" w:rsidP="00852AF6">
      <w:pPr>
        <w:rPr>
          <w:b/>
          <w:bCs/>
        </w:rPr>
      </w:pPr>
      <w:r w:rsidRPr="00852AF6">
        <w:rPr>
          <w:b/>
          <w:bCs/>
        </w:rPr>
        <w:t>1. Introduction: The Birth of Energy-Backed Digital Value</w:t>
      </w:r>
    </w:p>
    <w:p w14:paraId="5336CA67" w14:textId="77777777" w:rsidR="00852AF6" w:rsidRPr="00852AF6" w:rsidRDefault="00852AF6" w:rsidP="00852AF6">
      <w:pPr>
        <w:rPr>
          <w:b/>
          <w:bCs/>
        </w:rPr>
      </w:pPr>
      <w:r w:rsidRPr="00852AF6">
        <w:rPr>
          <w:b/>
          <w:bCs/>
        </w:rPr>
        <w:t>1.1 The AI Economy Is an Electricity Economy</w:t>
      </w:r>
    </w:p>
    <w:p w14:paraId="77FFB272" w14:textId="77777777" w:rsidR="00852AF6" w:rsidRPr="00852AF6" w:rsidRDefault="00852AF6" w:rsidP="00852AF6">
      <w:r w:rsidRPr="00852AF6">
        <w:t xml:space="preserve">The global digital economy is entering a new phase. In the previous internet era, software, users, and data were the dominant value drivers. In the AI era, the key bottleneck </w:t>
      </w:r>
      <w:proofErr w:type="gramStart"/>
      <w:r w:rsidRPr="00852AF6">
        <w:t>is</w:t>
      </w:r>
      <w:proofErr w:type="gramEnd"/>
      <w:r w:rsidRPr="00852AF6">
        <w:t xml:space="preserve"> increasingly </w:t>
      </w:r>
      <w:proofErr w:type="gramStart"/>
      <w:r w:rsidRPr="00852AF6">
        <w:t>physical</w:t>
      </w:r>
      <w:proofErr w:type="gramEnd"/>
      <w:r w:rsidRPr="00852AF6">
        <w:t xml:space="preserve"> infrastructure: semiconductors, data centers, grid capacity, cooling systems, and electricity.</w:t>
      </w:r>
    </w:p>
    <w:p w14:paraId="276DC83C" w14:textId="77777777" w:rsidR="00852AF6" w:rsidRPr="00852AF6" w:rsidRDefault="00852AF6" w:rsidP="00852AF6">
      <w:r w:rsidRPr="00852AF6">
        <w:t>Large language models, generative AI, autonomous systems, and real-time inference workloads require massive and continuous computational power. Behind every AI output is a physical energy input.</w:t>
      </w:r>
    </w:p>
    <w:p w14:paraId="39A77359" w14:textId="77777777" w:rsidR="00852AF6" w:rsidRPr="00852AF6" w:rsidRDefault="00852AF6" w:rsidP="00852AF6">
      <w:r w:rsidRPr="00852AF6">
        <w:t>This creates a new economic reality:</w:t>
      </w:r>
    </w:p>
    <w:p w14:paraId="6800F718" w14:textId="77777777" w:rsidR="00852AF6" w:rsidRPr="00852AF6" w:rsidRDefault="00852AF6" w:rsidP="00852AF6">
      <w:r w:rsidRPr="00852AF6">
        <w:rPr>
          <w:b/>
          <w:bCs/>
        </w:rPr>
        <w:t>Electricity → Compute → Intelligence → Productivity → Economic Value</w:t>
      </w:r>
    </w:p>
    <w:p w14:paraId="081444CA" w14:textId="77777777" w:rsidR="00852AF6" w:rsidRPr="00852AF6" w:rsidRDefault="00852AF6" w:rsidP="00852AF6">
      <w:r w:rsidRPr="00852AF6">
        <w:t>In this value chain, electricity becomes the first monetary layer of AI productivity. Whoever controls reliable, scalable, and clean electricity controls a critical foundation of the AI economy.</w:t>
      </w:r>
    </w:p>
    <w:p w14:paraId="0C9FB089" w14:textId="77777777" w:rsidR="00852AF6" w:rsidRPr="00852AF6" w:rsidRDefault="00852AF6" w:rsidP="00852AF6">
      <w:r w:rsidRPr="00852AF6">
        <w:t>Project S is designed to tokenize this foundation.</w:t>
      </w:r>
    </w:p>
    <w:p w14:paraId="65441F41" w14:textId="77777777" w:rsidR="00852AF6" w:rsidRPr="00852AF6" w:rsidRDefault="00852AF6" w:rsidP="00852AF6">
      <w:pPr>
        <w:rPr>
          <w:b/>
          <w:bCs/>
        </w:rPr>
      </w:pPr>
      <w:r w:rsidRPr="00852AF6">
        <w:rPr>
          <w:b/>
          <w:bCs/>
        </w:rPr>
        <w:t>1.2 Why Electricity Can Become a Monetary Primitive</w:t>
      </w:r>
    </w:p>
    <w:p w14:paraId="016FF641" w14:textId="77777777" w:rsidR="00852AF6" w:rsidRPr="00852AF6" w:rsidRDefault="00852AF6" w:rsidP="00852AF6">
      <w:r w:rsidRPr="00852AF6">
        <w:t>Electricity can become a blockchain-native financial primitive because it has four characteristics that make it suitable for tokenization.</w:t>
      </w:r>
    </w:p>
    <w:p w14:paraId="3F46D5D5" w14:textId="77777777" w:rsidR="00852AF6" w:rsidRPr="00852AF6" w:rsidRDefault="00852AF6" w:rsidP="00852AF6">
      <w:r w:rsidRPr="00852AF6">
        <w:t xml:space="preserve">First, electricity is </w:t>
      </w:r>
      <w:r w:rsidRPr="00852AF6">
        <w:rPr>
          <w:b/>
          <w:bCs/>
        </w:rPr>
        <w:t>measurable</w:t>
      </w:r>
      <w:r w:rsidRPr="00852AF6">
        <w:t>. It is recorded in kWh and MWh through certified meters, inverters, grid settlement systems, and utility-grade data infrastructure.</w:t>
      </w:r>
    </w:p>
    <w:p w14:paraId="1B862B64" w14:textId="77777777" w:rsidR="00852AF6" w:rsidRPr="00852AF6" w:rsidRDefault="00852AF6" w:rsidP="00852AF6">
      <w:r w:rsidRPr="00852AF6">
        <w:t xml:space="preserve">Second, electricity is </w:t>
      </w:r>
      <w:proofErr w:type="gramStart"/>
      <w:r w:rsidRPr="00852AF6">
        <w:rPr>
          <w:b/>
          <w:bCs/>
        </w:rPr>
        <w:t>market-priced</w:t>
      </w:r>
      <w:proofErr w:type="gramEnd"/>
      <w:r w:rsidRPr="00852AF6">
        <w:t xml:space="preserve">. In Korea, wholesale power is priced through SMP System Marginal Price, while renewable generation can generate additional value through REC Renewable Energy Certificates. On May 8, 2026, KPX reported a mainland average SMP of 129.96 KRW/kWh, and its REC market data for May 7, </w:t>
      </w:r>
      <w:proofErr w:type="gramStart"/>
      <w:r w:rsidRPr="00852AF6">
        <w:t>2026</w:t>
      </w:r>
      <w:proofErr w:type="gramEnd"/>
      <w:r w:rsidRPr="00852AF6">
        <w:t xml:space="preserve"> showed an average REC price of 70,931 KRW/REC, with 1 REC corresponding to 1 MWh before weight adjustments. </w:t>
      </w:r>
    </w:p>
    <w:p w14:paraId="053B668F" w14:textId="77777777" w:rsidR="00852AF6" w:rsidRPr="00852AF6" w:rsidRDefault="00852AF6" w:rsidP="00852AF6">
      <w:r w:rsidRPr="00852AF6">
        <w:t xml:space="preserve">Third, electricity is </w:t>
      </w:r>
      <w:r w:rsidRPr="00852AF6">
        <w:rPr>
          <w:b/>
          <w:bCs/>
        </w:rPr>
        <w:t>cash-flow generative</w:t>
      </w:r>
      <w:r w:rsidRPr="00852AF6">
        <w:t>. It can be monetized through wholesale power markets, REC sales, corporate PPA agreements, EV charging, demand response, and future AI data center energy contracts.</w:t>
      </w:r>
    </w:p>
    <w:p w14:paraId="52DA3D83" w14:textId="77777777" w:rsidR="00852AF6" w:rsidRPr="00852AF6" w:rsidRDefault="00852AF6" w:rsidP="00852AF6">
      <w:r w:rsidRPr="00852AF6">
        <w:t xml:space="preserve">Fourth, electricity is </w:t>
      </w:r>
      <w:r w:rsidRPr="00852AF6">
        <w:rPr>
          <w:b/>
          <w:bCs/>
        </w:rPr>
        <w:t>verifiable</w:t>
      </w:r>
      <w:r w:rsidRPr="00852AF6">
        <w:t xml:space="preserve">. Generation output, settlement records, REC issuance, treasury balances, and asset ownership can be audited and transmitted </w:t>
      </w:r>
      <w:proofErr w:type="gramStart"/>
      <w:r w:rsidRPr="00852AF6">
        <w:t>on-chain</w:t>
      </w:r>
      <w:proofErr w:type="gramEnd"/>
      <w:r w:rsidRPr="00852AF6">
        <w:t xml:space="preserve"> through oracle infrastructure.</w:t>
      </w:r>
    </w:p>
    <w:p w14:paraId="1976A1F5" w14:textId="77777777" w:rsidR="00852AF6" w:rsidRPr="00852AF6" w:rsidRDefault="00852AF6" w:rsidP="00852AF6">
      <w:r w:rsidRPr="00852AF6">
        <w:t xml:space="preserve">Project S combines these characteristics into a </w:t>
      </w:r>
      <w:proofErr w:type="gramStart"/>
      <w:r w:rsidRPr="00852AF6">
        <w:t>new</w:t>
      </w:r>
      <w:proofErr w:type="gramEnd"/>
      <w:r w:rsidRPr="00852AF6">
        <w:t xml:space="preserve"> tokenized energy economy.</w:t>
      </w:r>
    </w:p>
    <w:p w14:paraId="773005E6" w14:textId="77777777" w:rsidR="00852AF6" w:rsidRPr="00852AF6" w:rsidRDefault="00852AF6" w:rsidP="00852AF6">
      <w:r w:rsidRPr="00852AF6">
        <w:pict w14:anchorId="38C1BD90">
          <v:rect id="_x0000_i1171" style="width:0;height:1.5pt" o:hralign="center" o:hrstd="t" o:hr="t" fillcolor="#a0a0a0" stroked="f"/>
        </w:pict>
      </w:r>
    </w:p>
    <w:p w14:paraId="085F36DA" w14:textId="77777777" w:rsidR="00852AF6" w:rsidRPr="00852AF6" w:rsidRDefault="00852AF6" w:rsidP="00852AF6">
      <w:pPr>
        <w:rPr>
          <w:b/>
          <w:bCs/>
        </w:rPr>
      </w:pPr>
      <w:r w:rsidRPr="00852AF6">
        <w:rPr>
          <w:b/>
          <w:bCs/>
        </w:rPr>
        <w:t>2. Project S Vision</w:t>
      </w:r>
    </w:p>
    <w:p w14:paraId="47C80B0F" w14:textId="77777777" w:rsidR="00852AF6" w:rsidRPr="00852AF6" w:rsidRDefault="00852AF6" w:rsidP="00852AF6">
      <w:r w:rsidRPr="00852AF6">
        <w:t xml:space="preserve">Project S aims to become a global </w:t>
      </w:r>
      <w:r w:rsidRPr="00852AF6">
        <w:rPr>
          <w:b/>
          <w:bCs/>
        </w:rPr>
        <w:t>Energy-to-Value Protocol</w:t>
      </w:r>
      <w:r w:rsidRPr="00852AF6">
        <w:t>.</w:t>
      </w:r>
    </w:p>
    <w:p w14:paraId="605D0B53" w14:textId="77777777" w:rsidR="00852AF6" w:rsidRPr="00852AF6" w:rsidRDefault="00852AF6" w:rsidP="00852AF6">
      <w:r w:rsidRPr="00852AF6">
        <w:t>The protocol’s long-term mission is to build a transparent financial layer where renewable energy infrastructure can be funded, monitored, tokenized, and utilized through blockchain technology.</w:t>
      </w:r>
    </w:p>
    <w:p w14:paraId="6C8856ED" w14:textId="77777777" w:rsidR="00852AF6" w:rsidRPr="00852AF6" w:rsidRDefault="00852AF6" w:rsidP="00852AF6">
      <w:r w:rsidRPr="00852AF6">
        <w:t>The Project S ecosystem is designed around five core principles:</w:t>
      </w:r>
    </w:p>
    <w:p w14:paraId="457BB1E4" w14:textId="77777777" w:rsidR="00852AF6" w:rsidRPr="00852AF6" w:rsidRDefault="00852AF6" w:rsidP="00852AF6">
      <w:pPr>
        <w:numPr>
          <w:ilvl w:val="0"/>
          <w:numId w:val="1"/>
        </w:numPr>
      </w:pPr>
      <w:r w:rsidRPr="00852AF6">
        <w:rPr>
          <w:b/>
          <w:bCs/>
        </w:rPr>
        <w:t>Real Asset Backing</w:t>
      </w:r>
      <w:r w:rsidRPr="00852AF6">
        <w:br/>
        <w:t xml:space="preserve">Token value should be connected to productive infrastructure, not only market narratives. </w:t>
      </w:r>
    </w:p>
    <w:p w14:paraId="356451F8" w14:textId="77777777" w:rsidR="00852AF6" w:rsidRPr="00852AF6" w:rsidRDefault="00852AF6" w:rsidP="00852AF6">
      <w:pPr>
        <w:numPr>
          <w:ilvl w:val="0"/>
          <w:numId w:val="1"/>
        </w:numPr>
      </w:pPr>
      <w:r w:rsidRPr="00852AF6">
        <w:rPr>
          <w:b/>
          <w:bCs/>
        </w:rPr>
        <w:t>On-Chain Transparency</w:t>
      </w:r>
      <w:r w:rsidRPr="00852AF6">
        <w:br/>
        <w:t xml:space="preserve">Energy production, reserve status, treasury activity, and buyback events should be verifiable. </w:t>
      </w:r>
    </w:p>
    <w:p w14:paraId="64A95E46" w14:textId="77777777" w:rsidR="00852AF6" w:rsidRPr="00852AF6" w:rsidRDefault="00852AF6" w:rsidP="00852AF6">
      <w:pPr>
        <w:numPr>
          <w:ilvl w:val="0"/>
          <w:numId w:val="1"/>
        </w:numPr>
      </w:pPr>
      <w:r w:rsidRPr="00852AF6">
        <w:rPr>
          <w:b/>
          <w:bCs/>
        </w:rPr>
        <w:t>Sustainable Yield Design</w:t>
      </w:r>
      <w:r w:rsidRPr="00852AF6">
        <w:br/>
        <w:t xml:space="preserve">User rewards should be supported by energy cash flow, protocol fees, and clearly disclosed incentive reserves. </w:t>
      </w:r>
    </w:p>
    <w:p w14:paraId="509292B3" w14:textId="77777777" w:rsidR="00852AF6" w:rsidRPr="00852AF6" w:rsidRDefault="00852AF6" w:rsidP="00852AF6">
      <w:pPr>
        <w:numPr>
          <w:ilvl w:val="0"/>
          <w:numId w:val="1"/>
        </w:numPr>
      </w:pPr>
      <w:r w:rsidRPr="00852AF6">
        <w:rPr>
          <w:b/>
          <w:bCs/>
        </w:rPr>
        <w:t>Dual-Token Efficiency</w:t>
      </w:r>
      <w:r w:rsidRPr="00852AF6">
        <w:br/>
        <w:t xml:space="preserve">SPC and SLC should serve distinct economic functions to reduce systemic imbalance. </w:t>
      </w:r>
    </w:p>
    <w:p w14:paraId="2212ACC1" w14:textId="77777777" w:rsidR="00852AF6" w:rsidRPr="00852AF6" w:rsidRDefault="00852AF6" w:rsidP="00852AF6">
      <w:pPr>
        <w:numPr>
          <w:ilvl w:val="0"/>
          <w:numId w:val="1"/>
        </w:numPr>
      </w:pPr>
      <w:r w:rsidRPr="00852AF6">
        <w:rPr>
          <w:b/>
          <w:bCs/>
        </w:rPr>
        <w:t>Real-World Utility</w:t>
      </w:r>
      <w:r w:rsidRPr="00852AF6">
        <w:br/>
        <w:t xml:space="preserve">Tokens should have practical use cases such as EV charging, energy credits, staking, governance, and settlement. </w:t>
      </w:r>
    </w:p>
    <w:p w14:paraId="417A25C8" w14:textId="77777777" w:rsidR="00852AF6" w:rsidRPr="00852AF6" w:rsidRDefault="00852AF6" w:rsidP="00852AF6">
      <w:r w:rsidRPr="00852AF6">
        <w:pict w14:anchorId="7B9211FA">
          <v:rect id="_x0000_i1172" style="width:0;height:1.5pt" o:hralign="center" o:hrstd="t" o:hr="t" fillcolor="#a0a0a0" stroked="f"/>
        </w:pict>
      </w:r>
    </w:p>
    <w:p w14:paraId="06082FF1" w14:textId="77777777" w:rsidR="00852AF6" w:rsidRPr="00852AF6" w:rsidRDefault="00852AF6" w:rsidP="00852AF6">
      <w:pPr>
        <w:rPr>
          <w:b/>
          <w:bCs/>
        </w:rPr>
      </w:pPr>
      <w:r w:rsidRPr="00852AF6">
        <w:rPr>
          <w:b/>
          <w:bCs/>
        </w:rPr>
        <w:t>3. Macro Thesis: Power Becomes the Currency of AI</w:t>
      </w:r>
    </w:p>
    <w:p w14:paraId="0323F291" w14:textId="77777777" w:rsidR="00852AF6" w:rsidRPr="00852AF6" w:rsidRDefault="00852AF6" w:rsidP="00852AF6">
      <w:pPr>
        <w:rPr>
          <w:b/>
          <w:bCs/>
        </w:rPr>
      </w:pPr>
      <w:r w:rsidRPr="00852AF6">
        <w:rPr>
          <w:b/>
          <w:bCs/>
        </w:rPr>
        <w:t>3.1 From Digital Scarcity to Physical Scarcity</w:t>
      </w:r>
    </w:p>
    <w:p w14:paraId="151D5921" w14:textId="77777777" w:rsidR="00852AF6" w:rsidRPr="00852AF6" w:rsidRDefault="00852AF6" w:rsidP="00852AF6">
      <w:r w:rsidRPr="00852AF6">
        <w:t>Bitcoin introduced digital scarcity. Ethereum introduced programmable assets. DeFi introduced permissionless financial liquidity. RWA protocols introduced tokenized claims on real-world value.</w:t>
      </w:r>
    </w:p>
    <w:p w14:paraId="21F1002A" w14:textId="77777777" w:rsidR="00852AF6" w:rsidRPr="00852AF6" w:rsidRDefault="00852AF6" w:rsidP="00852AF6">
      <w:r w:rsidRPr="00852AF6">
        <w:t>Project S introduces the next layer:</w:t>
      </w:r>
    </w:p>
    <w:p w14:paraId="35A00614" w14:textId="77777777" w:rsidR="00852AF6" w:rsidRPr="00852AF6" w:rsidRDefault="00852AF6" w:rsidP="00852AF6">
      <w:r w:rsidRPr="00852AF6">
        <w:rPr>
          <w:b/>
          <w:bCs/>
        </w:rPr>
        <w:t>Programmable electricity-backed value.</w:t>
      </w:r>
    </w:p>
    <w:p w14:paraId="5715F74B" w14:textId="77777777" w:rsidR="00852AF6" w:rsidRPr="00852AF6" w:rsidRDefault="00852AF6" w:rsidP="00852AF6">
      <w:r w:rsidRPr="00852AF6">
        <w:t>In the AI economy, energy is not just an input cost. It is a scarce production resource. As AI workloads grow, energy availability becomes a competitive advantage for corporations, cloud operators, sovereign AI infrastructure, and data center developers.</w:t>
      </w:r>
    </w:p>
    <w:p w14:paraId="00BCE3C6" w14:textId="77777777" w:rsidR="00852AF6" w:rsidRPr="00852AF6" w:rsidRDefault="00852AF6" w:rsidP="00852AF6">
      <w:r w:rsidRPr="00852AF6">
        <w:t xml:space="preserve">Renewable power assets therefore acquire a new financial role. They are not merely ESG assets. They become </w:t>
      </w:r>
      <w:r w:rsidRPr="00852AF6">
        <w:rPr>
          <w:b/>
          <w:bCs/>
        </w:rPr>
        <w:t>productive collateral</w:t>
      </w:r>
      <w:r w:rsidRPr="00852AF6">
        <w:t xml:space="preserve"> capable of generating recurring cash flow and supporting tokenized economic systems.</w:t>
      </w:r>
    </w:p>
    <w:p w14:paraId="697AC924" w14:textId="77777777" w:rsidR="00852AF6" w:rsidRPr="00852AF6" w:rsidRDefault="00852AF6" w:rsidP="00852AF6">
      <w:pPr>
        <w:rPr>
          <w:b/>
          <w:bCs/>
        </w:rPr>
      </w:pPr>
      <w:r w:rsidRPr="00852AF6">
        <w:rPr>
          <w:b/>
          <w:bCs/>
        </w:rPr>
        <w:t>3.2 The Watt-to-Token Model</w:t>
      </w:r>
    </w:p>
    <w:p w14:paraId="26835C59" w14:textId="77777777" w:rsidR="00852AF6" w:rsidRPr="00852AF6" w:rsidRDefault="00852AF6" w:rsidP="00852AF6">
      <w:r w:rsidRPr="00852AF6">
        <w:t>Project S converts physical electricity into on-chain economic value through the following process:</w:t>
      </w:r>
    </w:p>
    <w:p w14:paraId="187A8159" w14:textId="77777777" w:rsidR="00852AF6" w:rsidRPr="00852AF6" w:rsidRDefault="00852AF6" w:rsidP="00852AF6">
      <w:r w:rsidRPr="00852AF6">
        <w:rPr>
          <w:b/>
          <w:bCs/>
        </w:rPr>
        <w:t xml:space="preserve">Solar generation → Metered kWh → SMP/REC valuation → Oracle verification → </w:t>
      </w:r>
      <w:proofErr w:type="spellStart"/>
      <w:r w:rsidRPr="00852AF6">
        <w:rPr>
          <w:b/>
          <w:bCs/>
        </w:rPr>
        <w:t>eNAV</w:t>
      </w:r>
      <w:proofErr w:type="spellEnd"/>
      <w:r w:rsidRPr="00852AF6">
        <w:rPr>
          <w:b/>
          <w:bCs/>
        </w:rPr>
        <w:t xml:space="preserve"> calculation → SPC reference value → SLC ecosystem liquidity → Buyback, staking, utility, and governance</w:t>
      </w:r>
    </w:p>
    <w:p w14:paraId="2EC103F5" w14:textId="77777777" w:rsidR="00852AF6" w:rsidRPr="00852AF6" w:rsidRDefault="00852AF6" w:rsidP="00852AF6">
      <w:r w:rsidRPr="00852AF6">
        <w:t>This creates a closed-loop economic model where electricity production supports token utility, and token demand supports further energy infrastructure expansion.</w:t>
      </w:r>
    </w:p>
    <w:p w14:paraId="3DC19290" w14:textId="77777777" w:rsidR="00852AF6" w:rsidRPr="00852AF6" w:rsidRDefault="00852AF6" w:rsidP="00852AF6">
      <w:r w:rsidRPr="00852AF6">
        <w:pict w14:anchorId="2DC8ADC4">
          <v:rect id="_x0000_i1173" style="width:0;height:1.5pt" o:hralign="center" o:hrstd="t" o:hr="t" fillcolor="#a0a0a0" stroked="f"/>
        </w:pict>
      </w:r>
    </w:p>
    <w:p w14:paraId="46207FDE" w14:textId="77777777" w:rsidR="00852AF6" w:rsidRPr="00852AF6" w:rsidRDefault="00852AF6" w:rsidP="00852AF6">
      <w:pPr>
        <w:rPr>
          <w:b/>
          <w:bCs/>
        </w:rPr>
      </w:pPr>
      <w:r w:rsidRPr="00852AF6">
        <w:rPr>
          <w:b/>
          <w:bCs/>
        </w:rPr>
        <w:t>4. Benchmarking Global RWA and Blockchain Infrastructure Models</w:t>
      </w:r>
    </w:p>
    <w:p w14:paraId="67D65484" w14:textId="77777777" w:rsidR="00852AF6" w:rsidRPr="00852AF6" w:rsidRDefault="00852AF6" w:rsidP="00852AF6">
      <w:r w:rsidRPr="00852AF6">
        <w:t>Project S is designed by benchmarking leading principles from institutional RWA protocols, oracle infrastructure, token standards, and energy blockchain networks.</w:t>
      </w:r>
    </w:p>
    <w:p w14:paraId="2475493C" w14:textId="77777777" w:rsidR="00852AF6" w:rsidRPr="00852AF6" w:rsidRDefault="00852AF6" w:rsidP="00852AF6">
      <w:pPr>
        <w:rPr>
          <w:b/>
          <w:bCs/>
        </w:rPr>
      </w:pPr>
      <w:r w:rsidRPr="00852AF6">
        <w:rPr>
          <w:b/>
          <w:bCs/>
        </w:rPr>
        <w:t>4.1 Proof of Reserve Architecture</w:t>
      </w:r>
    </w:p>
    <w:p w14:paraId="4287513F" w14:textId="77777777" w:rsidR="00852AF6" w:rsidRPr="00852AF6" w:rsidRDefault="00852AF6" w:rsidP="00852AF6">
      <w:r w:rsidRPr="00852AF6">
        <w:t xml:space="preserve">For any RWA token, transparency around collateral and reserves is essential. </w:t>
      </w:r>
      <w:proofErr w:type="spellStart"/>
      <w:r w:rsidRPr="00852AF6">
        <w:t>Chainlink</w:t>
      </w:r>
      <w:proofErr w:type="spellEnd"/>
      <w:r w:rsidRPr="00852AF6">
        <w:t xml:space="preserve"> Proof of Reserve is designed to verify off-chain and cross-chain reserves backing tokenized assets and can act as an automated circuit breaker when reserves fall short. </w:t>
      </w:r>
    </w:p>
    <w:p w14:paraId="5C44BE8B" w14:textId="77777777" w:rsidR="00852AF6" w:rsidRPr="00852AF6" w:rsidRDefault="00852AF6" w:rsidP="00852AF6">
      <w:r w:rsidRPr="00852AF6">
        <w:t xml:space="preserve">Project S adapts this concept into a specialized </w:t>
      </w:r>
      <w:r w:rsidRPr="00852AF6">
        <w:rPr>
          <w:b/>
          <w:bCs/>
        </w:rPr>
        <w:t>Proof of Energy Reserve</w:t>
      </w:r>
      <w:r w:rsidRPr="00852AF6">
        <w:t xml:space="preserve"> framework.</w:t>
      </w:r>
    </w:p>
    <w:p w14:paraId="544EC079" w14:textId="77777777" w:rsidR="00852AF6" w:rsidRPr="00852AF6" w:rsidRDefault="00852AF6" w:rsidP="00852AF6">
      <w:r w:rsidRPr="00852AF6">
        <w:t>This framework verifies:</w:t>
      </w:r>
    </w:p>
    <w:p w14:paraId="6C3AC3F6" w14:textId="77777777" w:rsidR="00852AF6" w:rsidRPr="00852AF6" w:rsidRDefault="00852AF6" w:rsidP="00852AF6">
      <w:pPr>
        <w:numPr>
          <w:ilvl w:val="0"/>
          <w:numId w:val="2"/>
        </w:numPr>
      </w:pPr>
      <w:r w:rsidRPr="00852AF6">
        <w:t xml:space="preserve">Solar asset ownership or revenue rights </w:t>
      </w:r>
    </w:p>
    <w:p w14:paraId="257CA4B0" w14:textId="77777777" w:rsidR="00852AF6" w:rsidRPr="00852AF6" w:rsidRDefault="00852AF6" w:rsidP="00852AF6">
      <w:pPr>
        <w:numPr>
          <w:ilvl w:val="0"/>
          <w:numId w:val="2"/>
        </w:numPr>
      </w:pPr>
      <w:r w:rsidRPr="00852AF6">
        <w:t xml:space="preserve">Metered electricity generation </w:t>
      </w:r>
    </w:p>
    <w:p w14:paraId="39C6B234" w14:textId="77777777" w:rsidR="00852AF6" w:rsidRPr="00852AF6" w:rsidRDefault="00852AF6" w:rsidP="00852AF6">
      <w:pPr>
        <w:numPr>
          <w:ilvl w:val="0"/>
          <w:numId w:val="2"/>
        </w:numPr>
      </w:pPr>
      <w:r w:rsidRPr="00852AF6">
        <w:t xml:space="preserve">SMP and REC settlement data </w:t>
      </w:r>
    </w:p>
    <w:p w14:paraId="16AF4C8F" w14:textId="77777777" w:rsidR="00852AF6" w:rsidRPr="00852AF6" w:rsidRDefault="00852AF6" w:rsidP="00852AF6">
      <w:pPr>
        <w:numPr>
          <w:ilvl w:val="0"/>
          <w:numId w:val="2"/>
        </w:numPr>
      </w:pPr>
      <w:r w:rsidRPr="00852AF6">
        <w:t xml:space="preserve">Treasury reserves </w:t>
      </w:r>
    </w:p>
    <w:p w14:paraId="5E18D15B" w14:textId="77777777" w:rsidR="00852AF6" w:rsidRPr="00852AF6" w:rsidRDefault="00852AF6" w:rsidP="00852AF6">
      <w:pPr>
        <w:numPr>
          <w:ilvl w:val="0"/>
          <w:numId w:val="2"/>
        </w:numPr>
      </w:pPr>
      <w:r w:rsidRPr="00852AF6">
        <w:t xml:space="preserve">Token supply versus collateral coverage </w:t>
      </w:r>
    </w:p>
    <w:p w14:paraId="79246DDE" w14:textId="77777777" w:rsidR="00852AF6" w:rsidRPr="00852AF6" w:rsidRDefault="00852AF6" w:rsidP="00852AF6">
      <w:pPr>
        <w:numPr>
          <w:ilvl w:val="0"/>
          <w:numId w:val="2"/>
        </w:numPr>
      </w:pPr>
      <w:r w:rsidRPr="00852AF6">
        <w:t xml:space="preserve">Buyback and redemption capacity </w:t>
      </w:r>
    </w:p>
    <w:p w14:paraId="0597C760" w14:textId="77777777" w:rsidR="00852AF6" w:rsidRPr="00852AF6" w:rsidRDefault="00852AF6" w:rsidP="00852AF6">
      <w:pPr>
        <w:rPr>
          <w:b/>
          <w:bCs/>
        </w:rPr>
      </w:pPr>
      <w:r w:rsidRPr="00852AF6">
        <w:rPr>
          <w:b/>
          <w:bCs/>
        </w:rPr>
        <w:t>4.2 Institutional RWA Infrastructure</w:t>
      </w:r>
    </w:p>
    <w:p w14:paraId="2AC86CBE" w14:textId="77777777" w:rsidR="00852AF6" w:rsidRPr="00852AF6" w:rsidRDefault="00852AF6" w:rsidP="00852AF6">
      <w:r w:rsidRPr="00852AF6">
        <w:t xml:space="preserve">Centrifuge is an example of a protocol focused on tokenized real-world assets and institutional on-chain asset management. Its documentation describes a platform for tokenizing, managing, and deploying real-world assets across DeFi and institutional channels. </w:t>
      </w:r>
    </w:p>
    <w:p w14:paraId="660077B5" w14:textId="77777777" w:rsidR="00852AF6" w:rsidRPr="00852AF6" w:rsidRDefault="00852AF6" w:rsidP="00852AF6">
      <w:r w:rsidRPr="00852AF6">
        <w:t>Project S applies similar RWA infrastructure principles to energy assets by introducing:</w:t>
      </w:r>
    </w:p>
    <w:p w14:paraId="3AFD4DEB" w14:textId="77777777" w:rsidR="00852AF6" w:rsidRPr="00852AF6" w:rsidRDefault="00852AF6" w:rsidP="00852AF6">
      <w:pPr>
        <w:numPr>
          <w:ilvl w:val="0"/>
          <w:numId w:val="3"/>
        </w:numPr>
      </w:pPr>
      <w:r w:rsidRPr="00852AF6">
        <w:t xml:space="preserve">SPV-based asset isolation </w:t>
      </w:r>
    </w:p>
    <w:p w14:paraId="22A3112E" w14:textId="77777777" w:rsidR="00852AF6" w:rsidRPr="00852AF6" w:rsidRDefault="00852AF6" w:rsidP="00852AF6">
      <w:pPr>
        <w:numPr>
          <w:ilvl w:val="0"/>
          <w:numId w:val="3"/>
        </w:numPr>
      </w:pPr>
      <w:r w:rsidRPr="00852AF6">
        <w:t xml:space="preserve">Revenue-right </w:t>
      </w:r>
      <w:proofErr w:type="gramStart"/>
      <w:r w:rsidRPr="00852AF6">
        <w:t>accounting</w:t>
      </w:r>
      <w:proofErr w:type="gramEnd"/>
      <w:r w:rsidRPr="00852AF6">
        <w:t xml:space="preserve"> </w:t>
      </w:r>
    </w:p>
    <w:p w14:paraId="64D6DF43" w14:textId="77777777" w:rsidR="00852AF6" w:rsidRPr="00852AF6" w:rsidRDefault="00852AF6" w:rsidP="00852AF6">
      <w:pPr>
        <w:numPr>
          <w:ilvl w:val="0"/>
          <w:numId w:val="3"/>
        </w:numPr>
      </w:pPr>
      <w:r w:rsidRPr="00852AF6">
        <w:t xml:space="preserve">On-chain NAV reporting </w:t>
      </w:r>
    </w:p>
    <w:p w14:paraId="223FE71B" w14:textId="77777777" w:rsidR="00852AF6" w:rsidRPr="00852AF6" w:rsidRDefault="00852AF6" w:rsidP="00852AF6">
      <w:pPr>
        <w:numPr>
          <w:ilvl w:val="0"/>
          <w:numId w:val="3"/>
        </w:numPr>
      </w:pPr>
      <w:r w:rsidRPr="00852AF6">
        <w:t xml:space="preserve">Investor eligibility management </w:t>
      </w:r>
    </w:p>
    <w:p w14:paraId="0891C184" w14:textId="77777777" w:rsidR="00852AF6" w:rsidRPr="00852AF6" w:rsidRDefault="00852AF6" w:rsidP="00852AF6">
      <w:pPr>
        <w:numPr>
          <w:ilvl w:val="0"/>
          <w:numId w:val="3"/>
        </w:numPr>
      </w:pPr>
      <w:r w:rsidRPr="00852AF6">
        <w:t xml:space="preserve">Treasury transparency </w:t>
      </w:r>
    </w:p>
    <w:p w14:paraId="5AB99C19" w14:textId="77777777" w:rsidR="00852AF6" w:rsidRPr="00852AF6" w:rsidRDefault="00852AF6" w:rsidP="00852AF6">
      <w:pPr>
        <w:numPr>
          <w:ilvl w:val="0"/>
          <w:numId w:val="3"/>
        </w:numPr>
      </w:pPr>
      <w:r w:rsidRPr="00852AF6">
        <w:t xml:space="preserve">Legal, tax, and audit documentation </w:t>
      </w:r>
    </w:p>
    <w:p w14:paraId="1DA65F4C" w14:textId="77777777" w:rsidR="00852AF6" w:rsidRPr="00852AF6" w:rsidRDefault="00852AF6" w:rsidP="00852AF6">
      <w:pPr>
        <w:numPr>
          <w:ilvl w:val="0"/>
          <w:numId w:val="3"/>
        </w:numPr>
      </w:pPr>
      <w:r w:rsidRPr="00852AF6">
        <w:t xml:space="preserve">Energy-specific oracle reporting </w:t>
      </w:r>
    </w:p>
    <w:p w14:paraId="12A2B5E3" w14:textId="77777777" w:rsidR="00852AF6" w:rsidRPr="00852AF6" w:rsidRDefault="00852AF6" w:rsidP="00852AF6">
      <w:pPr>
        <w:rPr>
          <w:b/>
          <w:bCs/>
        </w:rPr>
      </w:pPr>
      <w:r w:rsidRPr="00852AF6">
        <w:rPr>
          <w:b/>
          <w:bCs/>
        </w:rPr>
        <w:t>4.3 Ethereum-Compatible Token Standards</w:t>
      </w:r>
    </w:p>
    <w:p w14:paraId="07287FB0" w14:textId="77777777" w:rsidR="00852AF6" w:rsidRPr="00852AF6" w:rsidRDefault="00852AF6" w:rsidP="00852AF6">
      <w:r w:rsidRPr="00852AF6">
        <w:t xml:space="preserve">Project S prioritizes EVM compatibility to maximize wallet, exchange, custody, DeFi, and audit compatibility. Ethereum’s token standards include ERC-20 for fungible tokens, ERC-721 for non-fungible assets, and ERC-1155 for multi-token structures combining fungible and non-fungible assets. </w:t>
      </w:r>
    </w:p>
    <w:p w14:paraId="37B73B96" w14:textId="77777777" w:rsidR="00852AF6" w:rsidRPr="00852AF6" w:rsidRDefault="00852AF6" w:rsidP="00852AF6">
      <w:r w:rsidRPr="00852AF6">
        <w:t>Recommended implementation: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8"/>
        <w:gridCol w:w="6058"/>
      </w:tblGrid>
      <w:tr w:rsidR="00852AF6" w:rsidRPr="00852AF6" w14:paraId="4433B9A9" w14:textId="77777777">
        <w:trPr>
          <w:tblHeader/>
          <w:tblCellSpacing w:w="15" w:type="dxa"/>
        </w:trPr>
        <w:tc>
          <w:tcPr>
            <w:tcW w:w="0" w:type="auto"/>
            <w:vAlign w:val="center"/>
            <w:hideMark/>
          </w:tcPr>
          <w:p w14:paraId="0B75A942" w14:textId="77777777" w:rsidR="00852AF6" w:rsidRPr="00852AF6" w:rsidRDefault="00852AF6" w:rsidP="00852AF6">
            <w:pPr>
              <w:rPr>
                <w:b/>
                <w:bCs/>
              </w:rPr>
            </w:pPr>
            <w:r w:rsidRPr="00852AF6">
              <w:rPr>
                <w:b/>
                <w:bCs/>
              </w:rPr>
              <w:t>Component</w:t>
            </w:r>
          </w:p>
        </w:tc>
        <w:tc>
          <w:tcPr>
            <w:tcW w:w="0" w:type="auto"/>
            <w:vAlign w:val="center"/>
            <w:hideMark/>
          </w:tcPr>
          <w:p w14:paraId="3BEB128F" w14:textId="77777777" w:rsidR="00852AF6" w:rsidRPr="00852AF6" w:rsidRDefault="00852AF6" w:rsidP="00852AF6">
            <w:pPr>
              <w:rPr>
                <w:b/>
                <w:bCs/>
              </w:rPr>
            </w:pPr>
            <w:r w:rsidRPr="00852AF6">
              <w:rPr>
                <w:b/>
                <w:bCs/>
              </w:rPr>
              <w:t>Recommended Standard</w:t>
            </w:r>
          </w:p>
        </w:tc>
      </w:tr>
      <w:tr w:rsidR="00852AF6" w:rsidRPr="00852AF6" w14:paraId="62974341" w14:textId="77777777">
        <w:trPr>
          <w:tblCellSpacing w:w="15" w:type="dxa"/>
        </w:trPr>
        <w:tc>
          <w:tcPr>
            <w:tcW w:w="0" w:type="auto"/>
            <w:vAlign w:val="center"/>
            <w:hideMark/>
          </w:tcPr>
          <w:p w14:paraId="0F666DB3" w14:textId="77777777" w:rsidR="00852AF6" w:rsidRPr="00852AF6" w:rsidRDefault="00852AF6" w:rsidP="00852AF6">
            <w:r w:rsidRPr="00852AF6">
              <w:t>SPC</w:t>
            </w:r>
          </w:p>
        </w:tc>
        <w:tc>
          <w:tcPr>
            <w:tcW w:w="0" w:type="auto"/>
            <w:vAlign w:val="center"/>
            <w:hideMark/>
          </w:tcPr>
          <w:p w14:paraId="678B35AE" w14:textId="77777777" w:rsidR="00852AF6" w:rsidRPr="00852AF6" w:rsidRDefault="00852AF6" w:rsidP="00852AF6">
            <w:r w:rsidRPr="00852AF6">
              <w:t>ERC-20 or equivalent EVM-compatible fungible token</w:t>
            </w:r>
          </w:p>
        </w:tc>
      </w:tr>
      <w:tr w:rsidR="00852AF6" w:rsidRPr="00852AF6" w14:paraId="152EF33D" w14:textId="77777777">
        <w:trPr>
          <w:tblCellSpacing w:w="15" w:type="dxa"/>
        </w:trPr>
        <w:tc>
          <w:tcPr>
            <w:tcW w:w="0" w:type="auto"/>
            <w:vAlign w:val="center"/>
            <w:hideMark/>
          </w:tcPr>
          <w:p w14:paraId="5FFBF5CB" w14:textId="77777777" w:rsidR="00852AF6" w:rsidRPr="00852AF6" w:rsidRDefault="00852AF6" w:rsidP="00852AF6">
            <w:r w:rsidRPr="00852AF6">
              <w:t>SLC</w:t>
            </w:r>
          </w:p>
        </w:tc>
        <w:tc>
          <w:tcPr>
            <w:tcW w:w="0" w:type="auto"/>
            <w:vAlign w:val="center"/>
            <w:hideMark/>
          </w:tcPr>
          <w:p w14:paraId="60115D23" w14:textId="77777777" w:rsidR="00852AF6" w:rsidRPr="00852AF6" w:rsidRDefault="00852AF6" w:rsidP="00852AF6">
            <w:r w:rsidRPr="00852AF6">
              <w:t>ERC-20 or equivalent EVM-compatible utility token</w:t>
            </w:r>
          </w:p>
        </w:tc>
      </w:tr>
      <w:tr w:rsidR="00852AF6" w:rsidRPr="00852AF6" w14:paraId="7AB28339" w14:textId="77777777">
        <w:trPr>
          <w:tblCellSpacing w:w="15" w:type="dxa"/>
        </w:trPr>
        <w:tc>
          <w:tcPr>
            <w:tcW w:w="0" w:type="auto"/>
            <w:vAlign w:val="center"/>
            <w:hideMark/>
          </w:tcPr>
          <w:p w14:paraId="453637BD" w14:textId="77777777" w:rsidR="00852AF6" w:rsidRPr="00852AF6" w:rsidRDefault="00852AF6" w:rsidP="00852AF6">
            <w:r w:rsidRPr="00852AF6">
              <w:t>Solar Asset Certificate</w:t>
            </w:r>
          </w:p>
        </w:tc>
        <w:tc>
          <w:tcPr>
            <w:tcW w:w="0" w:type="auto"/>
            <w:vAlign w:val="center"/>
            <w:hideMark/>
          </w:tcPr>
          <w:p w14:paraId="4C051990" w14:textId="77777777" w:rsidR="00852AF6" w:rsidRPr="00852AF6" w:rsidRDefault="00852AF6" w:rsidP="00852AF6">
            <w:r w:rsidRPr="00852AF6">
              <w:t>ERC-721 or ERC-1155</w:t>
            </w:r>
          </w:p>
        </w:tc>
      </w:tr>
      <w:tr w:rsidR="00852AF6" w:rsidRPr="00852AF6" w14:paraId="22947370" w14:textId="77777777">
        <w:trPr>
          <w:tblCellSpacing w:w="15" w:type="dxa"/>
        </w:trPr>
        <w:tc>
          <w:tcPr>
            <w:tcW w:w="0" w:type="auto"/>
            <w:vAlign w:val="center"/>
            <w:hideMark/>
          </w:tcPr>
          <w:p w14:paraId="2D6120B6" w14:textId="77777777" w:rsidR="00852AF6" w:rsidRPr="00852AF6" w:rsidRDefault="00852AF6" w:rsidP="00852AF6">
            <w:r w:rsidRPr="00852AF6">
              <w:t>Staking Position</w:t>
            </w:r>
          </w:p>
        </w:tc>
        <w:tc>
          <w:tcPr>
            <w:tcW w:w="0" w:type="auto"/>
            <w:vAlign w:val="center"/>
            <w:hideMark/>
          </w:tcPr>
          <w:p w14:paraId="0230BB77" w14:textId="77777777" w:rsidR="00852AF6" w:rsidRPr="00852AF6" w:rsidRDefault="00852AF6" w:rsidP="00852AF6">
            <w:r w:rsidRPr="00852AF6">
              <w:t>Non-transferable NFT, receipt token, or SBT-style credential</w:t>
            </w:r>
          </w:p>
        </w:tc>
      </w:tr>
      <w:tr w:rsidR="00852AF6" w:rsidRPr="00852AF6" w14:paraId="6E3C96DF" w14:textId="77777777">
        <w:trPr>
          <w:tblCellSpacing w:w="15" w:type="dxa"/>
        </w:trPr>
        <w:tc>
          <w:tcPr>
            <w:tcW w:w="0" w:type="auto"/>
            <w:vAlign w:val="center"/>
            <w:hideMark/>
          </w:tcPr>
          <w:p w14:paraId="341D53CD" w14:textId="77777777" w:rsidR="00852AF6" w:rsidRPr="00852AF6" w:rsidRDefault="00852AF6" w:rsidP="00852AF6">
            <w:r w:rsidRPr="00852AF6">
              <w:t>Energy Data Hash</w:t>
            </w:r>
          </w:p>
        </w:tc>
        <w:tc>
          <w:tcPr>
            <w:tcW w:w="0" w:type="auto"/>
            <w:vAlign w:val="center"/>
            <w:hideMark/>
          </w:tcPr>
          <w:p w14:paraId="6424AE38" w14:textId="77777777" w:rsidR="00852AF6" w:rsidRPr="00852AF6" w:rsidRDefault="00852AF6" w:rsidP="00852AF6">
            <w:r w:rsidRPr="00852AF6">
              <w:t>On-chain attestation record</w:t>
            </w:r>
          </w:p>
        </w:tc>
      </w:tr>
    </w:tbl>
    <w:p w14:paraId="2574E4DF" w14:textId="77777777" w:rsidR="00852AF6" w:rsidRPr="00852AF6" w:rsidRDefault="00852AF6" w:rsidP="00852AF6">
      <w:r w:rsidRPr="00852AF6">
        <w:pict w14:anchorId="06BEFB1E">
          <v:rect id="_x0000_i1174" style="width:0;height:1.5pt" o:hralign="center" o:hrstd="t" o:hr="t" fillcolor="#a0a0a0" stroked="f"/>
        </w:pict>
      </w:r>
    </w:p>
    <w:p w14:paraId="107CFC3B" w14:textId="77777777" w:rsidR="00852AF6" w:rsidRPr="00852AF6" w:rsidRDefault="00852AF6" w:rsidP="00852AF6">
      <w:pPr>
        <w:rPr>
          <w:b/>
          <w:bCs/>
        </w:rPr>
      </w:pPr>
      <w:r w:rsidRPr="00852AF6">
        <w:rPr>
          <w:b/>
          <w:bCs/>
        </w:rPr>
        <w:t>5. Protocol Architecture</w:t>
      </w:r>
    </w:p>
    <w:p w14:paraId="25E52646" w14:textId="77777777" w:rsidR="00852AF6" w:rsidRPr="00852AF6" w:rsidRDefault="00852AF6" w:rsidP="00852AF6">
      <w:r w:rsidRPr="00852AF6">
        <w:t>Project S consists of five interconnected layers.</w:t>
      </w:r>
    </w:p>
    <w:p w14:paraId="62F9FFCE" w14:textId="77777777" w:rsidR="00852AF6" w:rsidRPr="00852AF6" w:rsidRDefault="00852AF6" w:rsidP="00852AF6">
      <w:pPr>
        <w:rPr>
          <w:b/>
          <w:bCs/>
        </w:rPr>
      </w:pPr>
      <w:r w:rsidRPr="00852AF6">
        <w:rPr>
          <w:b/>
          <w:bCs/>
        </w:rPr>
        <w:t>5.1 Physical Asset Layer</w:t>
      </w:r>
    </w:p>
    <w:p w14:paraId="2BD75A67" w14:textId="77777777" w:rsidR="00852AF6" w:rsidRPr="00852AF6" w:rsidRDefault="00852AF6" w:rsidP="00852AF6">
      <w:r w:rsidRPr="00852AF6">
        <w:t>The Physical Asset Layer represents the underlying renewable energy infrastructure.</w:t>
      </w:r>
    </w:p>
    <w:p w14:paraId="7FB3EFB7" w14:textId="77777777" w:rsidR="00852AF6" w:rsidRPr="00852AF6" w:rsidRDefault="00852AF6" w:rsidP="00852AF6">
      <w:r w:rsidRPr="00852AF6">
        <w:t>Core assets may include:</w:t>
      </w:r>
    </w:p>
    <w:p w14:paraId="35003891" w14:textId="77777777" w:rsidR="00852AF6" w:rsidRPr="00852AF6" w:rsidRDefault="00852AF6" w:rsidP="00852AF6">
      <w:pPr>
        <w:numPr>
          <w:ilvl w:val="0"/>
          <w:numId w:val="4"/>
        </w:numPr>
      </w:pPr>
      <w:r w:rsidRPr="00852AF6">
        <w:t xml:space="preserve">10MW-scale solar power plants </w:t>
      </w:r>
    </w:p>
    <w:p w14:paraId="6486DA88" w14:textId="77777777" w:rsidR="00852AF6" w:rsidRPr="00852AF6" w:rsidRDefault="00852AF6" w:rsidP="00852AF6">
      <w:pPr>
        <w:numPr>
          <w:ilvl w:val="0"/>
          <w:numId w:val="4"/>
        </w:numPr>
      </w:pPr>
      <w:r w:rsidRPr="00852AF6">
        <w:t xml:space="preserve">Certified electricity meters </w:t>
      </w:r>
    </w:p>
    <w:p w14:paraId="247A74AA" w14:textId="77777777" w:rsidR="00852AF6" w:rsidRPr="00852AF6" w:rsidRDefault="00852AF6" w:rsidP="00852AF6">
      <w:pPr>
        <w:numPr>
          <w:ilvl w:val="0"/>
          <w:numId w:val="4"/>
        </w:numPr>
      </w:pPr>
      <w:r w:rsidRPr="00852AF6">
        <w:t xml:space="preserve">Solar inverters and monitoring systems </w:t>
      </w:r>
    </w:p>
    <w:p w14:paraId="08DA6EC2" w14:textId="77777777" w:rsidR="00852AF6" w:rsidRPr="00852AF6" w:rsidRDefault="00852AF6" w:rsidP="00852AF6">
      <w:pPr>
        <w:numPr>
          <w:ilvl w:val="0"/>
          <w:numId w:val="4"/>
        </w:numPr>
      </w:pPr>
      <w:r w:rsidRPr="00852AF6">
        <w:t xml:space="preserve">Grid interconnection contracts </w:t>
      </w:r>
    </w:p>
    <w:p w14:paraId="3ED7C984" w14:textId="77777777" w:rsidR="00852AF6" w:rsidRPr="00852AF6" w:rsidRDefault="00852AF6" w:rsidP="00852AF6">
      <w:pPr>
        <w:numPr>
          <w:ilvl w:val="0"/>
          <w:numId w:val="4"/>
        </w:numPr>
      </w:pPr>
      <w:r w:rsidRPr="00852AF6">
        <w:t xml:space="preserve">EPC Engineering, Procurement, and Construction agreements </w:t>
      </w:r>
    </w:p>
    <w:p w14:paraId="775A99E7" w14:textId="77777777" w:rsidR="00852AF6" w:rsidRPr="00852AF6" w:rsidRDefault="00852AF6" w:rsidP="00852AF6">
      <w:pPr>
        <w:numPr>
          <w:ilvl w:val="0"/>
          <w:numId w:val="4"/>
        </w:numPr>
      </w:pPr>
      <w:r w:rsidRPr="00852AF6">
        <w:t xml:space="preserve">O&amp;M Operations and Maintenance agreements </w:t>
      </w:r>
    </w:p>
    <w:p w14:paraId="69CF21A9" w14:textId="77777777" w:rsidR="00852AF6" w:rsidRPr="00852AF6" w:rsidRDefault="00852AF6" w:rsidP="00852AF6">
      <w:pPr>
        <w:numPr>
          <w:ilvl w:val="0"/>
          <w:numId w:val="4"/>
        </w:numPr>
      </w:pPr>
      <w:r w:rsidRPr="00852AF6">
        <w:t xml:space="preserve">REC issuance and settlement accounts </w:t>
      </w:r>
    </w:p>
    <w:p w14:paraId="4A4B3C37" w14:textId="77777777" w:rsidR="00852AF6" w:rsidRPr="00852AF6" w:rsidRDefault="00852AF6" w:rsidP="00852AF6">
      <w:pPr>
        <w:numPr>
          <w:ilvl w:val="0"/>
          <w:numId w:val="4"/>
        </w:numPr>
      </w:pPr>
      <w:r w:rsidRPr="00852AF6">
        <w:t xml:space="preserve">Insurance policies </w:t>
      </w:r>
    </w:p>
    <w:p w14:paraId="4351F26E" w14:textId="77777777" w:rsidR="00852AF6" w:rsidRPr="00852AF6" w:rsidRDefault="00852AF6" w:rsidP="00852AF6">
      <w:pPr>
        <w:numPr>
          <w:ilvl w:val="0"/>
          <w:numId w:val="4"/>
        </w:numPr>
      </w:pPr>
      <w:r w:rsidRPr="00852AF6">
        <w:t xml:space="preserve">EV charging partnerships </w:t>
      </w:r>
    </w:p>
    <w:p w14:paraId="39CE47BE" w14:textId="77777777" w:rsidR="00852AF6" w:rsidRPr="00852AF6" w:rsidRDefault="00852AF6" w:rsidP="00852AF6">
      <w:pPr>
        <w:numPr>
          <w:ilvl w:val="0"/>
          <w:numId w:val="4"/>
        </w:numPr>
      </w:pPr>
      <w:r w:rsidRPr="00852AF6">
        <w:t xml:space="preserve">Future ESS and PPA-linked assets </w:t>
      </w:r>
    </w:p>
    <w:p w14:paraId="39A31F70" w14:textId="77777777" w:rsidR="00852AF6" w:rsidRPr="00852AF6" w:rsidRDefault="00852AF6" w:rsidP="00852AF6">
      <w:r w:rsidRPr="00852AF6">
        <w:t xml:space="preserve">For technical accuracy, power plant capacity should be expressed in </w:t>
      </w:r>
      <w:r w:rsidRPr="00852AF6">
        <w:rPr>
          <w:b/>
          <w:bCs/>
        </w:rPr>
        <w:t>MW</w:t>
      </w:r>
      <w:r w:rsidRPr="00852AF6">
        <w:t xml:space="preserve">, while energy output should be expressed in </w:t>
      </w:r>
      <w:r w:rsidRPr="00852AF6">
        <w:rPr>
          <w:b/>
          <w:bCs/>
        </w:rPr>
        <w:t>MWh</w:t>
      </w:r>
      <w:r w:rsidRPr="00852AF6">
        <w:t>. Therefore, the protocol should refer to a “10MW-scale solar generation asset” rather than “10mWh-scale plant.”</w:t>
      </w:r>
    </w:p>
    <w:p w14:paraId="41F9D63E" w14:textId="77777777" w:rsidR="00852AF6" w:rsidRPr="00852AF6" w:rsidRDefault="00852AF6" w:rsidP="00852AF6">
      <w:pPr>
        <w:rPr>
          <w:b/>
          <w:bCs/>
        </w:rPr>
      </w:pPr>
      <w:r w:rsidRPr="00852AF6">
        <w:rPr>
          <w:b/>
          <w:bCs/>
        </w:rPr>
        <w:t>5.2 Data and Oracle Layer</w:t>
      </w:r>
    </w:p>
    <w:p w14:paraId="289CD819" w14:textId="77777777" w:rsidR="00852AF6" w:rsidRPr="00852AF6" w:rsidRDefault="00852AF6" w:rsidP="00852AF6">
      <w:r w:rsidRPr="00852AF6">
        <w:t>The Data and Oracle Layer transfers real-world energy data into the blockchain environment.</w:t>
      </w:r>
    </w:p>
    <w:p w14:paraId="241B0D2D" w14:textId="77777777" w:rsidR="00852AF6" w:rsidRPr="00852AF6" w:rsidRDefault="00852AF6" w:rsidP="00852AF6">
      <w:r w:rsidRPr="00852AF6">
        <w:t>Data inputs include:</w:t>
      </w:r>
    </w:p>
    <w:p w14:paraId="3CD545DF" w14:textId="77777777" w:rsidR="00852AF6" w:rsidRPr="00852AF6" w:rsidRDefault="00852AF6" w:rsidP="00852AF6">
      <w:pPr>
        <w:numPr>
          <w:ilvl w:val="0"/>
          <w:numId w:val="5"/>
        </w:numPr>
      </w:pPr>
      <w:r w:rsidRPr="00852AF6">
        <w:t xml:space="preserve">Metered power generation </w:t>
      </w:r>
    </w:p>
    <w:p w14:paraId="5CE663A3" w14:textId="77777777" w:rsidR="00852AF6" w:rsidRPr="00852AF6" w:rsidRDefault="00852AF6" w:rsidP="00852AF6">
      <w:pPr>
        <w:numPr>
          <w:ilvl w:val="0"/>
          <w:numId w:val="5"/>
        </w:numPr>
      </w:pPr>
      <w:r w:rsidRPr="00852AF6">
        <w:t xml:space="preserve">SMP market price </w:t>
      </w:r>
    </w:p>
    <w:p w14:paraId="0D894613" w14:textId="77777777" w:rsidR="00852AF6" w:rsidRPr="00852AF6" w:rsidRDefault="00852AF6" w:rsidP="00852AF6">
      <w:pPr>
        <w:numPr>
          <w:ilvl w:val="0"/>
          <w:numId w:val="5"/>
        </w:numPr>
      </w:pPr>
      <w:r w:rsidRPr="00852AF6">
        <w:t xml:space="preserve">REC market price </w:t>
      </w:r>
    </w:p>
    <w:p w14:paraId="665202EB" w14:textId="77777777" w:rsidR="00852AF6" w:rsidRPr="00852AF6" w:rsidRDefault="00852AF6" w:rsidP="00852AF6">
      <w:pPr>
        <w:numPr>
          <w:ilvl w:val="0"/>
          <w:numId w:val="5"/>
        </w:numPr>
      </w:pPr>
      <w:r w:rsidRPr="00852AF6">
        <w:t xml:space="preserve">REC issuance volume </w:t>
      </w:r>
    </w:p>
    <w:p w14:paraId="7346DE2A" w14:textId="77777777" w:rsidR="00852AF6" w:rsidRPr="00852AF6" w:rsidRDefault="00852AF6" w:rsidP="00852AF6">
      <w:pPr>
        <w:numPr>
          <w:ilvl w:val="0"/>
          <w:numId w:val="5"/>
        </w:numPr>
      </w:pPr>
      <w:r w:rsidRPr="00852AF6">
        <w:t xml:space="preserve">PPA settlement data </w:t>
      </w:r>
    </w:p>
    <w:p w14:paraId="00C5E793" w14:textId="77777777" w:rsidR="00852AF6" w:rsidRPr="00852AF6" w:rsidRDefault="00852AF6" w:rsidP="00852AF6">
      <w:pPr>
        <w:numPr>
          <w:ilvl w:val="0"/>
          <w:numId w:val="5"/>
        </w:numPr>
      </w:pPr>
      <w:r w:rsidRPr="00852AF6">
        <w:t xml:space="preserve">EV charging transaction data </w:t>
      </w:r>
    </w:p>
    <w:p w14:paraId="43519EAF" w14:textId="77777777" w:rsidR="00852AF6" w:rsidRPr="00852AF6" w:rsidRDefault="00852AF6" w:rsidP="00852AF6">
      <w:pPr>
        <w:numPr>
          <w:ilvl w:val="0"/>
          <w:numId w:val="5"/>
        </w:numPr>
      </w:pPr>
      <w:r w:rsidRPr="00852AF6">
        <w:t xml:space="preserve">Solar irradiation data </w:t>
      </w:r>
    </w:p>
    <w:p w14:paraId="2D4186D4" w14:textId="77777777" w:rsidR="00852AF6" w:rsidRPr="00852AF6" w:rsidRDefault="00852AF6" w:rsidP="00852AF6">
      <w:pPr>
        <w:numPr>
          <w:ilvl w:val="0"/>
          <w:numId w:val="5"/>
        </w:numPr>
      </w:pPr>
      <w:r w:rsidRPr="00852AF6">
        <w:t xml:space="preserve">Equipment uptime </w:t>
      </w:r>
    </w:p>
    <w:p w14:paraId="45DE3D7F" w14:textId="77777777" w:rsidR="00852AF6" w:rsidRPr="00852AF6" w:rsidRDefault="00852AF6" w:rsidP="00852AF6">
      <w:pPr>
        <w:numPr>
          <w:ilvl w:val="0"/>
          <w:numId w:val="5"/>
        </w:numPr>
      </w:pPr>
      <w:r w:rsidRPr="00852AF6">
        <w:t xml:space="preserve">Maintenance records </w:t>
      </w:r>
    </w:p>
    <w:p w14:paraId="79E9F9BD" w14:textId="77777777" w:rsidR="00852AF6" w:rsidRPr="00852AF6" w:rsidRDefault="00852AF6" w:rsidP="00852AF6">
      <w:pPr>
        <w:numPr>
          <w:ilvl w:val="0"/>
          <w:numId w:val="5"/>
        </w:numPr>
      </w:pPr>
      <w:r w:rsidRPr="00852AF6">
        <w:t xml:space="preserve">Treasury reserves </w:t>
      </w:r>
    </w:p>
    <w:p w14:paraId="201EC83D" w14:textId="77777777" w:rsidR="00852AF6" w:rsidRPr="00852AF6" w:rsidRDefault="00852AF6" w:rsidP="00852AF6">
      <w:pPr>
        <w:numPr>
          <w:ilvl w:val="0"/>
          <w:numId w:val="5"/>
        </w:numPr>
      </w:pPr>
      <w:r w:rsidRPr="00852AF6">
        <w:t xml:space="preserve">Audit reports </w:t>
      </w:r>
    </w:p>
    <w:p w14:paraId="57F49A4F" w14:textId="77777777" w:rsidR="00852AF6" w:rsidRPr="00852AF6" w:rsidRDefault="00852AF6" w:rsidP="00852AF6">
      <w:r w:rsidRPr="00852AF6">
        <w:t>The oracle layer should use multiple data sources, anomaly detection, signed attestations, and fallback mechanisms to avoid single-point failure.</w:t>
      </w:r>
    </w:p>
    <w:p w14:paraId="5DD0B3D8" w14:textId="77777777" w:rsidR="00852AF6" w:rsidRPr="00852AF6" w:rsidRDefault="00852AF6" w:rsidP="00852AF6">
      <w:pPr>
        <w:rPr>
          <w:b/>
          <w:bCs/>
        </w:rPr>
      </w:pPr>
      <w:r w:rsidRPr="00852AF6">
        <w:rPr>
          <w:b/>
          <w:bCs/>
        </w:rPr>
        <w:t>5.3 Smart Contract Layer</w:t>
      </w:r>
    </w:p>
    <w:p w14:paraId="2A905BEF" w14:textId="77777777" w:rsidR="00852AF6" w:rsidRPr="00852AF6" w:rsidRDefault="00852AF6" w:rsidP="00852AF6">
      <w:r w:rsidRPr="00852AF6">
        <w:t>The Smart Contract Layer manages issuance, staking, rewards, swaps, buybacks, burns, treasury controls, and governance.</w:t>
      </w:r>
    </w:p>
    <w:p w14:paraId="7F2399F7" w14:textId="77777777" w:rsidR="00852AF6" w:rsidRPr="00852AF6" w:rsidRDefault="00852AF6" w:rsidP="00852AF6">
      <w:r w:rsidRPr="00852AF6">
        <w:t>Key contracts include: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87"/>
        <w:gridCol w:w="6939"/>
      </w:tblGrid>
      <w:tr w:rsidR="00852AF6" w:rsidRPr="00852AF6" w14:paraId="46F50605" w14:textId="77777777">
        <w:trPr>
          <w:tblHeader/>
          <w:tblCellSpacing w:w="15" w:type="dxa"/>
        </w:trPr>
        <w:tc>
          <w:tcPr>
            <w:tcW w:w="0" w:type="auto"/>
            <w:vAlign w:val="center"/>
            <w:hideMark/>
          </w:tcPr>
          <w:p w14:paraId="13D69723" w14:textId="77777777" w:rsidR="00852AF6" w:rsidRPr="00852AF6" w:rsidRDefault="00852AF6" w:rsidP="00852AF6">
            <w:pPr>
              <w:rPr>
                <w:b/>
                <w:bCs/>
              </w:rPr>
            </w:pPr>
            <w:r w:rsidRPr="00852AF6">
              <w:rPr>
                <w:b/>
                <w:bCs/>
              </w:rPr>
              <w:t>Contract</w:t>
            </w:r>
          </w:p>
        </w:tc>
        <w:tc>
          <w:tcPr>
            <w:tcW w:w="0" w:type="auto"/>
            <w:vAlign w:val="center"/>
            <w:hideMark/>
          </w:tcPr>
          <w:p w14:paraId="2A70DDAD" w14:textId="77777777" w:rsidR="00852AF6" w:rsidRPr="00852AF6" w:rsidRDefault="00852AF6" w:rsidP="00852AF6">
            <w:pPr>
              <w:rPr>
                <w:b/>
                <w:bCs/>
              </w:rPr>
            </w:pPr>
            <w:r w:rsidRPr="00852AF6">
              <w:rPr>
                <w:b/>
                <w:bCs/>
              </w:rPr>
              <w:t>Function</w:t>
            </w:r>
          </w:p>
        </w:tc>
      </w:tr>
      <w:tr w:rsidR="00852AF6" w:rsidRPr="00852AF6" w14:paraId="31D39FE2" w14:textId="77777777">
        <w:trPr>
          <w:tblCellSpacing w:w="15" w:type="dxa"/>
        </w:trPr>
        <w:tc>
          <w:tcPr>
            <w:tcW w:w="0" w:type="auto"/>
            <w:vAlign w:val="center"/>
            <w:hideMark/>
          </w:tcPr>
          <w:p w14:paraId="40F4D54B" w14:textId="77777777" w:rsidR="00852AF6" w:rsidRPr="00852AF6" w:rsidRDefault="00852AF6" w:rsidP="00852AF6">
            <w:r w:rsidRPr="00852AF6">
              <w:rPr>
                <w:b/>
                <w:bCs/>
              </w:rPr>
              <w:t>SPC Mint Controller</w:t>
            </w:r>
          </w:p>
        </w:tc>
        <w:tc>
          <w:tcPr>
            <w:tcW w:w="0" w:type="auto"/>
            <w:vAlign w:val="center"/>
            <w:hideMark/>
          </w:tcPr>
          <w:p w14:paraId="0BA7722B" w14:textId="77777777" w:rsidR="00852AF6" w:rsidRPr="00852AF6" w:rsidRDefault="00852AF6" w:rsidP="00852AF6">
            <w:r w:rsidRPr="00852AF6">
              <w:t>Controls SPC issuance based on verified collateral and energy reserves</w:t>
            </w:r>
          </w:p>
        </w:tc>
      </w:tr>
      <w:tr w:rsidR="00852AF6" w:rsidRPr="00852AF6" w14:paraId="177BBC83" w14:textId="77777777">
        <w:trPr>
          <w:tblCellSpacing w:w="15" w:type="dxa"/>
        </w:trPr>
        <w:tc>
          <w:tcPr>
            <w:tcW w:w="0" w:type="auto"/>
            <w:vAlign w:val="center"/>
            <w:hideMark/>
          </w:tcPr>
          <w:p w14:paraId="1EA966CA" w14:textId="77777777" w:rsidR="00852AF6" w:rsidRPr="00852AF6" w:rsidRDefault="00852AF6" w:rsidP="00852AF6">
            <w:r w:rsidRPr="00852AF6">
              <w:rPr>
                <w:b/>
                <w:bCs/>
              </w:rPr>
              <w:t>Energy NAV Oracle</w:t>
            </w:r>
          </w:p>
        </w:tc>
        <w:tc>
          <w:tcPr>
            <w:tcW w:w="0" w:type="auto"/>
            <w:vAlign w:val="center"/>
            <w:hideMark/>
          </w:tcPr>
          <w:p w14:paraId="63D90402" w14:textId="77777777" w:rsidR="00852AF6" w:rsidRPr="00852AF6" w:rsidRDefault="00852AF6" w:rsidP="00852AF6">
            <w:r w:rsidRPr="00852AF6">
              <w:t>Calculates Energy Net Asset Value based on SMP, REC, output, and reserves</w:t>
            </w:r>
          </w:p>
        </w:tc>
      </w:tr>
      <w:tr w:rsidR="00852AF6" w:rsidRPr="00852AF6" w14:paraId="63E57449" w14:textId="77777777">
        <w:trPr>
          <w:tblCellSpacing w:w="15" w:type="dxa"/>
        </w:trPr>
        <w:tc>
          <w:tcPr>
            <w:tcW w:w="0" w:type="auto"/>
            <w:vAlign w:val="center"/>
            <w:hideMark/>
          </w:tcPr>
          <w:p w14:paraId="00FBA3C4" w14:textId="77777777" w:rsidR="00852AF6" w:rsidRPr="00852AF6" w:rsidRDefault="00852AF6" w:rsidP="00852AF6">
            <w:r w:rsidRPr="00852AF6">
              <w:rPr>
                <w:b/>
                <w:bCs/>
              </w:rPr>
              <w:t>Staking Vault</w:t>
            </w:r>
          </w:p>
        </w:tc>
        <w:tc>
          <w:tcPr>
            <w:tcW w:w="0" w:type="auto"/>
            <w:vAlign w:val="center"/>
            <w:hideMark/>
          </w:tcPr>
          <w:p w14:paraId="50C65631" w14:textId="77777777" w:rsidR="00852AF6" w:rsidRPr="00852AF6" w:rsidRDefault="00852AF6" w:rsidP="00852AF6">
            <w:r w:rsidRPr="00852AF6">
              <w:t>Manages SPC/SLC deposits and reward distribution</w:t>
            </w:r>
          </w:p>
        </w:tc>
      </w:tr>
      <w:tr w:rsidR="00852AF6" w:rsidRPr="00852AF6" w14:paraId="719D3FA5" w14:textId="77777777">
        <w:trPr>
          <w:tblCellSpacing w:w="15" w:type="dxa"/>
        </w:trPr>
        <w:tc>
          <w:tcPr>
            <w:tcW w:w="0" w:type="auto"/>
            <w:vAlign w:val="center"/>
            <w:hideMark/>
          </w:tcPr>
          <w:p w14:paraId="74AAFBB1" w14:textId="77777777" w:rsidR="00852AF6" w:rsidRPr="00852AF6" w:rsidRDefault="00852AF6" w:rsidP="00852AF6">
            <w:r w:rsidRPr="00852AF6">
              <w:rPr>
                <w:b/>
                <w:bCs/>
              </w:rPr>
              <w:t>Buyback Router</w:t>
            </w:r>
          </w:p>
        </w:tc>
        <w:tc>
          <w:tcPr>
            <w:tcW w:w="0" w:type="auto"/>
            <w:vAlign w:val="center"/>
            <w:hideMark/>
          </w:tcPr>
          <w:p w14:paraId="5E86BA12" w14:textId="77777777" w:rsidR="00852AF6" w:rsidRPr="00852AF6" w:rsidRDefault="00852AF6" w:rsidP="00852AF6">
            <w:proofErr w:type="gramStart"/>
            <w:r w:rsidRPr="00852AF6">
              <w:t>Executes</w:t>
            </w:r>
            <w:proofErr w:type="gramEnd"/>
            <w:r w:rsidRPr="00852AF6">
              <w:t xml:space="preserve"> SLC buybacks using approved energy cash flow</w:t>
            </w:r>
          </w:p>
        </w:tc>
      </w:tr>
      <w:tr w:rsidR="00852AF6" w:rsidRPr="00852AF6" w14:paraId="1C4E7544" w14:textId="77777777">
        <w:trPr>
          <w:tblCellSpacing w:w="15" w:type="dxa"/>
        </w:trPr>
        <w:tc>
          <w:tcPr>
            <w:tcW w:w="0" w:type="auto"/>
            <w:vAlign w:val="center"/>
            <w:hideMark/>
          </w:tcPr>
          <w:p w14:paraId="389F877D" w14:textId="77777777" w:rsidR="00852AF6" w:rsidRPr="00852AF6" w:rsidRDefault="00852AF6" w:rsidP="00852AF6">
            <w:r w:rsidRPr="00852AF6">
              <w:rPr>
                <w:b/>
                <w:bCs/>
              </w:rPr>
              <w:t>Burn Engine</w:t>
            </w:r>
          </w:p>
        </w:tc>
        <w:tc>
          <w:tcPr>
            <w:tcW w:w="0" w:type="auto"/>
            <w:vAlign w:val="center"/>
            <w:hideMark/>
          </w:tcPr>
          <w:p w14:paraId="5B1DABA3" w14:textId="77777777" w:rsidR="00852AF6" w:rsidRPr="00852AF6" w:rsidRDefault="00852AF6" w:rsidP="00852AF6">
            <w:r w:rsidRPr="00852AF6">
              <w:t>Burns a portion of repurchased SLC</w:t>
            </w:r>
          </w:p>
        </w:tc>
      </w:tr>
      <w:tr w:rsidR="00852AF6" w:rsidRPr="00852AF6" w14:paraId="067DC30A" w14:textId="77777777">
        <w:trPr>
          <w:tblCellSpacing w:w="15" w:type="dxa"/>
        </w:trPr>
        <w:tc>
          <w:tcPr>
            <w:tcW w:w="0" w:type="auto"/>
            <w:vAlign w:val="center"/>
            <w:hideMark/>
          </w:tcPr>
          <w:p w14:paraId="08F57E82" w14:textId="77777777" w:rsidR="00852AF6" w:rsidRPr="00852AF6" w:rsidRDefault="00852AF6" w:rsidP="00852AF6">
            <w:r w:rsidRPr="00852AF6">
              <w:rPr>
                <w:b/>
                <w:bCs/>
              </w:rPr>
              <w:t>Redemption Queue</w:t>
            </w:r>
          </w:p>
        </w:tc>
        <w:tc>
          <w:tcPr>
            <w:tcW w:w="0" w:type="auto"/>
            <w:vAlign w:val="center"/>
            <w:hideMark/>
          </w:tcPr>
          <w:p w14:paraId="4D02FBAC" w14:textId="77777777" w:rsidR="00852AF6" w:rsidRPr="00852AF6" w:rsidRDefault="00852AF6" w:rsidP="00852AF6">
            <w:r w:rsidRPr="00852AF6">
              <w:t>Manages SPC redemption or swap requests</w:t>
            </w:r>
          </w:p>
        </w:tc>
      </w:tr>
      <w:tr w:rsidR="00852AF6" w:rsidRPr="00852AF6" w14:paraId="6920BEF7" w14:textId="77777777">
        <w:trPr>
          <w:tblCellSpacing w:w="15" w:type="dxa"/>
        </w:trPr>
        <w:tc>
          <w:tcPr>
            <w:tcW w:w="0" w:type="auto"/>
            <w:vAlign w:val="center"/>
            <w:hideMark/>
          </w:tcPr>
          <w:p w14:paraId="21B00A09" w14:textId="77777777" w:rsidR="00852AF6" w:rsidRPr="00852AF6" w:rsidRDefault="00852AF6" w:rsidP="00852AF6">
            <w:r w:rsidRPr="00852AF6">
              <w:rPr>
                <w:b/>
                <w:bCs/>
              </w:rPr>
              <w:t xml:space="preserve">Treasury </w:t>
            </w:r>
            <w:proofErr w:type="spellStart"/>
            <w:r w:rsidRPr="00852AF6">
              <w:rPr>
                <w:b/>
                <w:bCs/>
              </w:rPr>
              <w:t>Timelock</w:t>
            </w:r>
            <w:proofErr w:type="spellEnd"/>
          </w:p>
        </w:tc>
        <w:tc>
          <w:tcPr>
            <w:tcW w:w="0" w:type="auto"/>
            <w:vAlign w:val="center"/>
            <w:hideMark/>
          </w:tcPr>
          <w:p w14:paraId="797DC5F8" w14:textId="77777777" w:rsidR="00852AF6" w:rsidRPr="00852AF6" w:rsidRDefault="00852AF6" w:rsidP="00852AF6">
            <w:r w:rsidRPr="00852AF6">
              <w:t>Adds time delay and transparency to treasury execution</w:t>
            </w:r>
          </w:p>
        </w:tc>
      </w:tr>
      <w:tr w:rsidR="00852AF6" w:rsidRPr="00852AF6" w14:paraId="07639E06" w14:textId="77777777">
        <w:trPr>
          <w:tblCellSpacing w:w="15" w:type="dxa"/>
        </w:trPr>
        <w:tc>
          <w:tcPr>
            <w:tcW w:w="0" w:type="auto"/>
            <w:vAlign w:val="center"/>
            <w:hideMark/>
          </w:tcPr>
          <w:p w14:paraId="284AFDF2" w14:textId="77777777" w:rsidR="00852AF6" w:rsidRPr="00852AF6" w:rsidRDefault="00852AF6" w:rsidP="00852AF6">
            <w:r w:rsidRPr="00852AF6">
              <w:rPr>
                <w:b/>
                <w:bCs/>
              </w:rPr>
              <w:t>Governance Module</w:t>
            </w:r>
          </w:p>
        </w:tc>
        <w:tc>
          <w:tcPr>
            <w:tcW w:w="0" w:type="auto"/>
            <w:vAlign w:val="center"/>
            <w:hideMark/>
          </w:tcPr>
          <w:p w14:paraId="5FFCFC30" w14:textId="77777777" w:rsidR="00852AF6" w:rsidRPr="00852AF6" w:rsidRDefault="00852AF6" w:rsidP="00852AF6">
            <w:r w:rsidRPr="00852AF6">
              <w:t>Allows parameter upgrades and ecosystem voting</w:t>
            </w:r>
          </w:p>
        </w:tc>
      </w:tr>
    </w:tbl>
    <w:p w14:paraId="13B204D4" w14:textId="77777777" w:rsidR="00852AF6" w:rsidRPr="00852AF6" w:rsidRDefault="00852AF6" w:rsidP="00852AF6">
      <w:pPr>
        <w:rPr>
          <w:b/>
          <w:bCs/>
        </w:rPr>
      </w:pPr>
      <w:r w:rsidRPr="00852AF6">
        <w:rPr>
          <w:b/>
          <w:bCs/>
        </w:rPr>
        <w:t>5.4 Application Layer</w:t>
      </w:r>
    </w:p>
    <w:p w14:paraId="2F6FF8C8" w14:textId="77777777" w:rsidR="00852AF6" w:rsidRPr="00852AF6" w:rsidRDefault="00852AF6" w:rsidP="00852AF6">
      <w:r w:rsidRPr="00852AF6">
        <w:t xml:space="preserve">The primary user interface is </w:t>
      </w:r>
      <w:proofErr w:type="spellStart"/>
      <w:r w:rsidRPr="00852AF6">
        <w:rPr>
          <w:b/>
          <w:bCs/>
        </w:rPr>
        <w:t>Supervizion</w:t>
      </w:r>
      <w:proofErr w:type="spellEnd"/>
      <w:r w:rsidRPr="00852AF6">
        <w:rPr>
          <w:b/>
          <w:bCs/>
        </w:rPr>
        <w:t xml:space="preserve"> Wallet</w:t>
      </w:r>
      <w:r w:rsidRPr="00852AF6">
        <w:t>, the dedicated Web3 gateway for the Project S ecosystem.</w:t>
      </w:r>
    </w:p>
    <w:p w14:paraId="75A7DA3C" w14:textId="77777777" w:rsidR="00852AF6" w:rsidRPr="00852AF6" w:rsidRDefault="00852AF6" w:rsidP="00852AF6">
      <w:proofErr w:type="spellStart"/>
      <w:r w:rsidRPr="00852AF6">
        <w:t>Supervizion</w:t>
      </w:r>
      <w:proofErr w:type="spellEnd"/>
      <w:r w:rsidRPr="00852AF6">
        <w:t xml:space="preserve"> Wallet may provide:</w:t>
      </w:r>
    </w:p>
    <w:p w14:paraId="436C17DF" w14:textId="77777777" w:rsidR="00852AF6" w:rsidRPr="00852AF6" w:rsidRDefault="00852AF6" w:rsidP="00852AF6">
      <w:pPr>
        <w:numPr>
          <w:ilvl w:val="0"/>
          <w:numId w:val="6"/>
        </w:numPr>
      </w:pPr>
      <w:r w:rsidRPr="00852AF6">
        <w:t xml:space="preserve">SPC and SLC balance management </w:t>
      </w:r>
    </w:p>
    <w:p w14:paraId="24DCAB64" w14:textId="77777777" w:rsidR="00852AF6" w:rsidRPr="00852AF6" w:rsidRDefault="00852AF6" w:rsidP="00852AF6">
      <w:pPr>
        <w:numPr>
          <w:ilvl w:val="0"/>
          <w:numId w:val="6"/>
        </w:numPr>
      </w:pPr>
      <w:r w:rsidRPr="00852AF6">
        <w:t xml:space="preserve">Dual staking dashboard </w:t>
      </w:r>
    </w:p>
    <w:p w14:paraId="40A7EBF4" w14:textId="77777777" w:rsidR="00852AF6" w:rsidRPr="00852AF6" w:rsidRDefault="00852AF6" w:rsidP="00852AF6">
      <w:pPr>
        <w:numPr>
          <w:ilvl w:val="0"/>
          <w:numId w:val="6"/>
        </w:numPr>
      </w:pPr>
      <w:r w:rsidRPr="00852AF6">
        <w:t xml:space="preserve">Reward tracking </w:t>
      </w:r>
    </w:p>
    <w:p w14:paraId="0513B434" w14:textId="77777777" w:rsidR="00852AF6" w:rsidRPr="00852AF6" w:rsidRDefault="00852AF6" w:rsidP="00852AF6">
      <w:pPr>
        <w:numPr>
          <w:ilvl w:val="0"/>
          <w:numId w:val="6"/>
        </w:numPr>
      </w:pPr>
      <w:r w:rsidRPr="00852AF6">
        <w:t xml:space="preserve">Energy value index display </w:t>
      </w:r>
    </w:p>
    <w:p w14:paraId="5FF4EA15" w14:textId="77777777" w:rsidR="00852AF6" w:rsidRPr="00852AF6" w:rsidRDefault="00852AF6" w:rsidP="00852AF6">
      <w:pPr>
        <w:numPr>
          <w:ilvl w:val="0"/>
          <w:numId w:val="6"/>
        </w:numPr>
      </w:pPr>
      <w:r w:rsidRPr="00852AF6">
        <w:t xml:space="preserve">Real-time generation dashboard </w:t>
      </w:r>
    </w:p>
    <w:p w14:paraId="51C51480" w14:textId="77777777" w:rsidR="00852AF6" w:rsidRPr="00852AF6" w:rsidRDefault="00852AF6" w:rsidP="00852AF6">
      <w:pPr>
        <w:numPr>
          <w:ilvl w:val="0"/>
          <w:numId w:val="6"/>
        </w:numPr>
      </w:pPr>
      <w:r w:rsidRPr="00852AF6">
        <w:t xml:space="preserve">Treasury reserve ratio </w:t>
      </w:r>
    </w:p>
    <w:p w14:paraId="10B0496C" w14:textId="77777777" w:rsidR="00852AF6" w:rsidRPr="00852AF6" w:rsidRDefault="00852AF6" w:rsidP="00852AF6">
      <w:pPr>
        <w:numPr>
          <w:ilvl w:val="0"/>
          <w:numId w:val="6"/>
        </w:numPr>
      </w:pPr>
      <w:r w:rsidRPr="00852AF6">
        <w:t xml:space="preserve">Buyback and burn history </w:t>
      </w:r>
    </w:p>
    <w:p w14:paraId="55FD5C52" w14:textId="77777777" w:rsidR="00852AF6" w:rsidRPr="00852AF6" w:rsidRDefault="00852AF6" w:rsidP="00852AF6">
      <w:pPr>
        <w:numPr>
          <w:ilvl w:val="0"/>
          <w:numId w:val="6"/>
        </w:numPr>
      </w:pPr>
      <w:r w:rsidRPr="00852AF6">
        <w:t xml:space="preserve">SPC-SLC swap module </w:t>
      </w:r>
    </w:p>
    <w:p w14:paraId="73CB9672" w14:textId="77777777" w:rsidR="00852AF6" w:rsidRPr="00852AF6" w:rsidRDefault="00852AF6" w:rsidP="00852AF6">
      <w:pPr>
        <w:numPr>
          <w:ilvl w:val="0"/>
          <w:numId w:val="6"/>
        </w:numPr>
      </w:pPr>
      <w:r w:rsidRPr="00852AF6">
        <w:t xml:space="preserve">EV charging payment function </w:t>
      </w:r>
    </w:p>
    <w:p w14:paraId="64577964" w14:textId="77777777" w:rsidR="00852AF6" w:rsidRPr="00852AF6" w:rsidRDefault="00852AF6" w:rsidP="00852AF6">
      <w:pPr>
        <w:numPr>
          <w:ilvl w:val="0"/>
          <w:numId w:val="6"/>
        </w:numPr>
      </w:pPr>
      <w:r w:rsidRPr="00852AF6">
        <w:t xml:space="preserve">Governance voting </w:t>
      </w:r>
    </w:p>
    <w:p w14:paraId="0AD8D36A" w14:textId="77777777" w:rsidR="00852AF6" w:rsidRPr="00852AF6" w:rsidRDefault="00852AF6" w:rsidP="00852AF6">
      <w:pPr>
        <w:numPr>
          <w:ilvl w:val="0"/>
          <w:numId w:val="6"/>
        </w:numPr>
      </w:pPr>
      <w:r w:rsidRPr="00852AF6">
        <w:t xml:space="preserve">Risk disclosure and audit report access </w:t>
      </w:r>
    </w:p>
    <w:p w14:paraId="3B333411" w14:textId="77777777" w:rsidR="00852AF6" w:rsidRPr="00852AF6" w:rsidRDefault="00852AF6" w:rsidP="00852AF6">
      <w:pPr>
        <w:rPr>
          <w:b/>
          <w:bCs/>
        </w:rPr>
      </w:pPr>
      <w:r w:rsidRPr="00852AF6">
        <w:rPr>
          <w:b/>
          <w:bCs/>
        </w:rPr>
        <w:t>5.5 Compliance Layer</w:t>
      </w:r>
    </w:p>
    <w:p w14:paraId="3661509C" w14:textId="77777777" w:rsidR="00852AF6" w:rsidRPr="00852AF6" w:rsidRDefault="00852AF6" w:rsidP="00852AF6">
      <w:r w:rsidRPr="00852AF6">
        <w:t>Project S should be structured with regulatory discipline from the beginning.</w:t>
      </w:r>
    </w:p>
    <w:p w14:paraId="4E5E41BE" w14:textId="77777777" w:rsidR="00852AF6" w:rsidRPr="00852AF6" w:rsidRDefault="00852AF6" w:rsidP="00852AF6">
      <w:r w:rsidRPr="00852AF6">
        <w:t xml:space="preserve">In Korea, the Virtual Asset User Protection Act came into effect on July 19, </w:t>
      </w:r>
      <w:proofErr w:type="gramStart"/>
      <w:r w:rsidRPr="00852AF6">
        <w:t>2024</w:t>
      </w:r>
      <w:proofErr w:type="gramEnd"/>
      <w:r w:rsidRPr="00852AF6">
        <w:t xml:space="preserve"> and includes provisions regarding protection of user deposits and virtual assets, regulation of unfair trading activity, and supervisory authority over virtual asset service providers. </w:t>
      </w:r>
    </w:p>
    <w:p w14:paraId="110D0465" w14:textId="77777777" w:rsidR="00852AF6" w:rsidRPr="00852AF6" w:rsidRDefault="00852AF6" w:rsidP="00852AF6">
      <w:r w:rsidRPr="00852AF6">
        <w:t>Therefore, Project S should adopt the following compliance principles:</w:t>
      </w:r>
    </w:p>
    <w:p w14:paraId="3B6E5F86" w14:textId="77777777" w:rsidR="00852AF6" w:rsidRPr="00852AF6" w:rsidRDefault="00852AF6" w:rsidP="00852AF6">
      <w:pPr>
        <w:numPr>
          <w:ilvl w:val="0"/>
          <w:numId w:val="7"/>
        </w:numPr>
      </w:pPr>
      <w:r w:rsidRPr="00852AF6">
        <w:t xml:space="preserve">KYC/AML screening </w:t>
      </w:r>
    </w:p>
    <w:p w14:paraId="14536070" w14:textId="77777777" w:rsidR="00852AF6" w:rsidRPr="00852AF6" w:rsidRDefault="00852AF6" w:rsidP="00852AF6">
      <w:pPr>
        <w:numPr>
          <w:ilvl w:val="0"/>
          <w:numId w:val="7"/>
        </w:numPr>
      </w:pPr>
      <w:r w:rsidRPr="00852AF6">
        <w:t xml:space="preserve">Travel Rule readiness </w:t>
      </w:r>
    </w:p>
    <w:p w14:paraId="5DA76A79" w14:textId="77777777" w:rsidR="00852AF6" w:rsidRPr="00852AF6" w:rsidRDefault="00852AF6" w:rsidP="00852AF6">
      <w:pPr>
        <w:numPr>
          <w:ilvl w:val="0"/>
          <w:numId w:val="7"/>
        </w:numPr>
      </w:pPr>
      <w:r w:rsidRPr="00852AF6">
        <w:t xml:space="preserve">Securities-law review </w:t>
      </w:r>
    </w:p>
    <w:p w14:paraId="7AAC903A" w14:textId="77777777" w:rsidR="00852AF6" w:rsidRPr="00852AF6" w:rsidRDefault="00852AF6" w:rsidP="00852AF6">
      <w:pPr>
        <w:numPr>
          <w:ilvl w:val="0"/>
          <w:numId w:val="7"/>
        </w:numPr>
      </w:pPr>
      <w:r w:rsidRPr="00852AF6">
        <w:t xml:space="preserve">Clear risk disclosures </w:t>
      </w:r>
    </w:p>
    <w:p w14:paraId="4925ECF8" w14:textId="77777777" w:rsidR="00852AF6" w:rsidRPr="00852AF6" w:rsidRDefault="00852AF6" w:rsidP="00852AF6">
      <w:pPr>
        <w:numPr>
          <w:ilvl w:val="0"/>
          <w:numId w:val="7"/>
        </w:numPr>
      </w:pPr>
      <w:r w:rsidRPr="00852AF6">
        <w:t xml:space="preserve">Avoidance of guaranteed-return language </w:t>
      </w:r>
    </w:p>
    <w:p w14:paraId="4F00AF26" w14:textId="77777777" w:rsidR="00852AF6" w:rsidRPr="00852AF6" w:rsidRDefault="00852AF6" w:rsidP="00852AF6">
      <w:pPr>
        <w:numPr>
          <w:ilvl w:val="0"/>
          <w:numId w:val="7"/>
        </w:numPr>
      </w:pPr>
      <w:r w:rsidRPr="00852AF6">
        <w:t xml:space="preserve">Audit-based reserve reporting </w:t>
      </w:r>
    </w:p>
    <w:p w14:paraId="684C2277" w14:textId="77777777" w:rsidR="00852AF6" w:rsidRPr="00852AF6" w:rsidRDefault="00852AF6" w:rsidP="00852AF6">
      <w:pPr>
        <w:numPr>
          <w:ilvl w:val="0"/>
          <w:numId w:val="7"/>
        </w:numPr>
      </w:pPr>
      <w:r w:rsidRPr="00852AF6">
        <w:t xml:space="preserve">Smart contract security audits </w:t>
      </w:r>
    </w:p>
    <w:p w14:paraId="4BD30B04" w14:textId="77777777" w:rsidR="00852AF6" w:rsidRPr="00852AF6" w:rsidRDefault="00852AF6" w:rsidP="00852AF6">
      <w:pPr>
        <w:numPr>
          <w:ilvl w:val="0"/>
          <w:numId w:val="7"/>
        </w:numPr>
      </w:pPr>
      <w:r w:rsidRPr="00852AF6">
        <w:t xml:space="preserve">Treasury wallet transparency </w:t>
      </w:r>
    </w:p>
    <w:p w14:paraId="7A5A85D8" w14:textId="77777777" w:rsidR="00852AF6" w:rsidRPr="00852AF6" w:rsidRDefault="00852AF6" w:rsidP="00852AF6">
      <w:pPr>
        <w:numPr>
          <w:ilvl w:val="0"/>
          <w:numId w:val="7"/>
        </w:numPr>
      </w:pPr>
      <w:r w:rsidRPr="00852AF6">
        <w:t xml:space="preserve">Exchange listing announcements only after formal confirmation </w:t>
      </w:r>
    </w:p>
    <w:p w14:paraId="7DCDB729" w14:textId="77777777" w:rsidR="00852AF6" w:rsidRPr="00852AF6" w:rsidRDefault="00852AF6" w:rsidP="00852AF6">
      <w:r w:rsidRPr="00852AF6">
        <w:pict w14:anchorId="67B4693D">
          <v:rect id="_x0000_i1175" style="width:0;height:1.5pt" o:hralign="center" o:hrstd="t" o:hr="t" fillcolor="#a0a0a0" stroked="f"/>
        </w:pict>
      </w:r>
    </w:p>
    <w:p w14:paraId="57F89E4C" w14:textId="77777777" w:rsidR="00852AF6" w:rsidRPr="00852AF6" w:rsidRDefault="00852AF6" w:rsidP="00852AF6">
      <w:pPr>
        <w:rPr>
          <w:b/>
          <w:bCs/>
        </w:rPr>
      </w:pPr>
      <w:r w:rsidRPr="00852AF6">
        <w:rPr>
          <w:b/>
          <w:bCs/>
        </w:rPr>
        <w:t>6. Electricity-to-Money Mechanism</w:t>
      </w:r>
    </w:p>
    <w:p w14:paraId="77DDB3EE" w14:textId="77777777" w:rsidR="00852AF6" w:rsidRPr="00852AF6" w:rsidRDefault="00852AF6" w:rsidP="00852AF6">
      <w:pPr>
        <w:rPr>
          <w:b/>
          <w:bCs/>
        </w:rPr>
      </w:pPr>
      <w:r w:rsidRPr="00852AF6">
        <w:rPr>
          <w:b/>
          <w:bCs/>
        </w:rPr>
        <w:t>6.1 The Core Conversion Logic</w:t>
      </w:r>
    </w:p>
    <w:p w14:paraId="0F4CA800" w14:textId="77777777" w:rsidR="00852AF6" w:rsidRPr="00852AF6" w:rsidRDefault="00852AF6" w:rsidP="00852AF6">
      <w:r w:rsidRPr="00852AF6">
        <w:t>Project S is built on the idea that verified electricity production can be converted into tokenized economic value.</w:t>
      </w:r>
    </w:p>
    <w:p w14:paraId="0AD5C944" w14:textId="77777777" w:rsidR="00852AF6" w:rsidRPr="00852AF6" w:rsidRDefault="00852AF6" w:rsidP="00852AF6">
      <w:r w:rsidRPr="00852AF6">
        <w:t>The conversion path is:</w:t>
      </w:r>
    </w:p>
    <w:p w14:paraId="4696F132" w14:textId="743B7B75" w:rsidR="00852AF6" w:rsidRPr="00852AF6" w:rsidRDefault="00852AF6" w:rsidP="00852AF6">
      <m:oMathPara>
        <m:oMath>
          <m:r>
            <w:rPr>
              <w:rFonts w:ascii="Cambria Math" w:hAnsi="Cambria Math"/>
            </w:rPr>
            <m:t>Electricity</m:t>
          </m:r>
          <m:r>
            <m:rPr>
              <m:sty m:val="p"/>
            </m:rPr>
            <w:rPr>
              <w:rFonts w:ascii="Cambria Math" w:hAnsi="Cambria Math"/>
            </w:rPr>
            <m:t> </m:t>
          </m:r>
          <m:r>
            <w:rPr>
              <w:rFonts w:ascii="Cambria Math" w:hAnsi="Cambria Math"/>
            </w:rPr>
            <m:t>Production→Market</m:t>
          </m:r>
          <m:r>
            <m:rPr>
              <m:sty m:val="p"/>
            </m:rPr>
            <w:rPr>
              <w:rFonts w:ascii="Cambria Math" w:hAnsi="Cambria Math"/>
            </w:rPr>
            <m:t> </m:t>
          </m:r>
          <m:r>
            <w:rPr>
              <w:rFonts w:ascii="Cambria Math" w:hAnsi="Cambria Math"/>
            </w:rPr>
            <m:t>Pricing→Oracle</m:t>
          </m:r>
          <m:r>
            <m:rPr>
              <m:sty m:val="p"/>
            </m:rPr>
            <w:rPr>
              <w:rFonts w:ascii="Cambria Math" w:hAnsi="Cambria Math"/>
            </w:rPr>
            <m:t> </m:t>
          </m:r>
          <m:r>
            <w:rPr>
              <w:rFonts w:ascii="Cambria Math" w:hAnsi="Cambria Math"/>
            </w:rPr>
            <m:t>Verification→Energy</m:t>
          </m:r>
          <m:r>
            <m:rPr>
              <m:sty m:val="p"/>
            </m:rPr>
            <w:rPr>
              <w:rFonts w:ascii="Cambria Math" w:hAnsi="Cambria Math"/>
            </w:rPr>
            <m:t> </m:t>
          </m:r>
          <m:r>
            <w:rPr>
              <w:rFonts w:ascii="Cambria Math" w:hAnsi="Cambria Math"/>
            </w:rPr>
            <m:t>NAV→Token</m:t>
          </m:r>
          <m:r>
            <m:rPr>
              <m:sty m:val="p"/>
            </m:rPr>
            <w:rPr>
              <w:rFonts w:ascii="Cambria Math" w:hAnsi="Cambria Math"/>
            </w:rPr>
            <m:t> </m:t>
          </m:r>
          <m:r>
            <w:rPr>
              <w:rFonts w:ascii="Cambria Math" w:hAnsi="Cambria Math"/>
            </w:rPr>
            <m:t>Utility</m:t>
          </m:r>
          <m:r>
            <w:rPr>
              <w:i/>
            </w:rPr>
            <w:br/>
          </m:r>
        </m:oMath>
      </m:oMathPara>
    </w:p>
    <w:p w14:paraId="27AFED8C" w14:textId="77777777" w:rsidR="00852AF6" w:rsidRPr="00852AF6" w:rsidRDefault="00852AF6" w:rsidP="00852AF6">
      <w:pPr>
        <w:rPr>
          <w:b/>
          <w:bCs/>
        </w:rPr>
      </w:pPr>
      <w:r w:rsidRPr="00852AF6">
        <w:rPr>
          <w:b/>
          <w:bCs/>
        </w:rPr>
        <w:t>6.2 Power Generation</w:t>
      </w:r>
    </w:p>
    <w:p w14:paraId="2338DA4B" w14:textId="77777777" w:rsidR="00852AF6" w:rsidRPr="00852AF6" w:rsidRDefault="00852AF6" w:rsidP="00852AF6">
      <w:r w:rsidRPr="00852AF6">
        <w:t>Solar generation is measured in kWh or MWh.</w:t>
      </w:r>
    </w:p>
    <w:p w14:paraId="571B3F32" w14:textId="042DDF75" w:rsidR="00852AF6" w:rsidRPr="00852AF6" w:rsidRDefault="00852AF6" w:rsidP="00852AF6">
      <m:oMathPara>
        <m:oMath>
          <m:r>
            <w:rPr>
              <w:rFonts w:ascii="Cambria Math" w:hAnsi="Cambria Math"/>
            </w:rPr>
            <m:t>Generated</m:t>
          </m:r>
          <m:r>
            <m:rPr>
              <m:sty m:val="p"/>
            </m:rPr>
            <w:rPr>
              <w:rFonts w:ascii="Cambria Math" w:hAnsi="Cambria Math"/>
            </w:rPr>
            <m:t> </m:t>
          </m:r>
          <m:r>
            <w:rPr>
              <w:rFonts w:ascii="Cambria Math" w:hAnsi="Cambria Math"/>
            </w:rPr>
            <m:t>Energ</m:t>
          </m:r>
          <m:sSub>
            <m:sSubPr>
              <m:ctrlPr>
                <w:rPr>
                  <w:rFonts w:ascii="Cambria Math" w:hAnsi="Cambria Math"/>
                </w:rPr>
              </m:ctrlPr>
            </m:sSubPr>
            <m:e>
              <m:r>
                <w:rPr>
                  <w:rFonts w:ascii="Cambria Math" w:hAnsi="Cambria Math"/>
                </w:rPr>
                <m:t>y</m:t>
              </m:r>
            </m:e>
            <m:sub>
              <m:r>
                <w:rPr>
                  <w:rFonts w:ascii="Cambria Math" w:hAnsi="Cambria Math"/>
                </w:rPr>
                <m:t>t</m:t>
              </m:r>
            </m:sub>
          </m:sSub>
          <m:r>
            <w:rPr>
              <w:rFonts w:ascii="Cambria Math" w:hAnsi="Cambria Math"/>
            </w:rPr>
            <m:t>=Exported</m:t>
          </m:r>
          <m:r>
            <m:rPr>
              <m:sty m:val="p"/>
            </m:rPr>
            <w:rPr>
              <w:rFonts w:ascii="Cambria Math" w:hAnsi="Cambria Math"/>
            </w:rPr>
            <m:t> </m:t>
          </m:r>
          <m:r>
            <w:rPr>
              <w:rFonts w:ascii="Cambria Math" w:hAnsi="Cambria Math"/>
            </w:rPr>
            <m:t>kW</m:t>
          </m:r>
          <m:sSub>
            <m:sSubPr>
              <m:ctrlPr>
                <w:rPr>
                  <w:rFonts w:ascii="Cambria Math" w:hAnsi="Cambria Math"/>
                </w:rPr>
              </m:ctrlPr>
            </m:sSubPr>
            <m:e>
              <m:r>
                <w:rPr>
                  <w:rFonts w:ascii="Cambria Math" w:hAnsi="Cambria Math"/>
                </w:rPr>
                <m:t>h</m:t>
              </m:r>
            </m:e>
            <m:sub>
              <m:r>
                <w:rPr>
                  <w:rFonts w:ascii="Cambria Math" w:hAnsi="Cambria Math"/>
                </w:rPr>
                <m:t>t</m:t>
              </m:r>
            </m:sub>
          </m:sSub>
          <m:r>
            <w:br/>
          </m:r>
        </m:oMath>
      </m:oMathPara>
    </w:p>
    <w:p w14:paraId="4B5433BC" w14:textId="77777777" w:rsidR="00852AF6" w:rsidRPr="00852AF6" w:rsidRDefault="00852AF6" w:rsidP="00852AF6">
      <w:r w:rsidRPr="00852AF6">
        <w:t>This data is verified using:</w:t>
      </w:r>
    </w:p>
    <w:p w14:paraId="78519394" w14:textId="77777777" w:rsidR="00852AF6" w:rsidRPr="00852AF6" w:rsidRDefault="00852AF6" w:rsidP="00852AF6">
      <w:pPr>
        <w:numPr>
          <w:ilvl w:val="0"/>
          <w:numId w:val="8"/>
        </w:numPr>
      </w:pPr>
      <w:r w:rsidRPr="00852AF6">
        <w:t xml:space="preserve">Meter data </w:t>
      </w:r>
    </w:p>
    <w:p w14:paraId="6C977E43" w14:textId="77777777" w:rsidR="00852AF6" w:rsidRPr="00852AF6" w:rsidRDefault="00852AF6" w:rsidP="00852AF6">
      <w:pPr>
        <w:numPr>
          <w:ilvl w:val="0"/>
          <w:numId w:val="8"/>
        </w:numPr>
      </w:pPr>
      <w:r w:rsidRPr="00852AF6">
        <w:t xml:space="preserve">Inverter data </w:t>
      </w:r>
    </w:p>
    <w:p w14:paraId="0AD3C6F4" w14:textId="77777777" w:rsidR="00852AF6" w:rsidRPr="00852AF6" w:rsidRDefault="00852AF6" w:rsidP="00852AF6">
      <w:pPr>
        <w:numPr>
          <w:ilvl w:val="0"/>
          <w:numId w:val="8"/>
        </w:numPr>
      </w:pPr>
      <w:r w:rsidRPr="00852AF6">
        <w:t xml:space="preserve">Grid settlement records </w:t>
      </w:r>
    </w:p>
    <w:p w14:paraId="798446CB" w14:textId="77777777" w:rsidR="00852AF6" w:rsidRPr="00852AF6" w:rsidRDefault="00852AF6" w:rsidP="00852AF6">
      <w:pPr>
        <w:numPr>
          <w:ilvl w:val="0"/>
          <w:numId w:val="8"/>
        </w:numPr>
      </w:pPr>
      <w:r w:rsidRPr="00852AF6">
        <w:t xml:space="preserve">REC issuance records </w:t>
      </w:r>
    </w:p>
    <w:p w14:paraId="629CD6E0" w14:textId="77777777" w:rsidR="00852AF6" w:rsidRPr="00852AF6" w:rsidRDefault="00852AF6" w:rsidP="00852AF6">
      <w:pPr>
        <w:numPr>
          <w:ilvl w:val="0"/>
          <w:numId w:val="8"/>
        </w:numPr>
      </w:pPr>
      <w:r w:rsidRPr="00852AF6">
        <w:t xml:space="preserve">Third-party audit logs </w:t>
      </w:r>
    </w:p>
    <w:p w14:paraId="35EC3667" w14:textId="77777777" w:rsidR="00852AF6" w:rsidRPr="00852AF6" w:rsidRDefault="00852AF6" w:rsidP="00852AF6">
      <w:pPr>
        <w:rPr>
          <w:b/>
          <w:bCs/>
        </w:rPr>
      </w:pPr>
      <w:r w:rsidRPr="00852AF6">
        <w:rPr>
          <w:b/>
          <w:bCs/>
        </w:rPr>
        <w:t>6.3 Energy Revenue Calculation</w:t>
      </w:r>
    </w:p>
    <w:p w14:paraId="41EFDDE4" w14:textId="77777777" w:rsidR="00852AF6" w:rsidRPr="00852AF6" w:rsidRDefault="00852AF6" w:rsidP="00852AF6">
      <w:r w:rsidRPr="00852AF6">
        <w:t>Renewable energy revenue can be modeled as:</w:t>
      </w:r>
    </w:p>
    <w:p w14:paraId="2A2050D1" w14:textId="4B128CA6" w:rsidR="00852AF6" w:rsidRPr="00852AF6" w:rsidRDefault="00852AF6" w:rsidP="00852AF6">
      <m:oMathPara>
        <m:oMath>
          <m:r>
            <w:rPr>
              <w:rFonts w:ascii="Cambria Math" w:hAnsi="Cambria Math"/>
            </w:rPr>
            <m:t>Energy</m:t>
          </m:r>
          <m:r>
            <m:rPr>
              <m:sty m:val="p"/>
            </m:rPr>
            <w:rPr>
              <w:rFonts w:ascii="Cambria Math" w:hAnsi="Cambria Math"/>
            </w:rPr>
            <m:t> </m:t>
          </m:r>
          <m:r>
            <w:rPr>
              <w:rFonts w:ascii="Cambria Math" w:hAnsi="Cambria Math"/>
            </w:rPr>
            <m:t>Revenu</m:t>
          </m:r>
          <m:sSub>
            <m:sSubPr>
              <m:ctrlPr>
                <w:rPr>
                  <w:rFonts w:ascii="Cambria Math" w:hAnsi="Cambria Math"/>
                </w:rPr>
              </m:ctrlPr>
            </m:sSubPr>
            <m:e>
              <m:r>
                <w:rPr>
                  <w:rFonts w:ascii="Cambria Math" w:hAnsi="Cambria Math"/>
                </w:rPr>
                <m:t>e</m:t>
              </m:r>
            </m:e>
            <m:sub>
              <m:r>
                <w:rPr>
                  <w:rFonts w:ascii="Cambria Math" w:hAnsi="Cambria Math"/>
                </w:rPr>
                <m:t>t</m:t>
              </m:r>
            </m:sub>
          </m:sSub>
          <m:r>
            <w:rPr>
              <w:rFonts w:ascii="Cambria Math" w:hAnsi="Cambria Math"/>
            </w:rPr>
            <m:t>=kW</m:t>
          </m:r>
          <m:sSub>
            <m:sSubPr>
              <m:ctrlPr>
                <w:rPr>
                  <w:rFonts w:ascii="Cambria Math" w:hAnsi="Cambria Math"/>
                </w:rPr>
              </m:ctrlPr>
            </m:sSubPr>
            <m:e>
              <m:r>
                <w:rPr>
                  <w:rFonts w:ascii="Cambria Math" w:hAnsi="Cambria Math"/>
                </w:rPr>
                <m:t>h</m:t>
              </m:r>
            </m:e>
            <m:sub>
              <m:r>
                <w:rPr>
                  <w:rFonts w:ascii="Cambria Math" w:hAnsi="Cambria Math"/>
                </w:rPr>
                <m:t>t</m:t>
              </m:r>
            </m:sub>
          </m:sSub>
          <m:r>
            <w:rPr>
              <w:rFonts w:ascii="Cambria Math" w:hAnsi="Cambria Math"/>
            </w:rPr>
            <m:t>×SM</m:t>
          </m:r>
          <m:sSub>
            <m:sSubPr>
              <m:ctrlPr>
                <w:rPr>
                  <w:rFonts w:ascii="Cambria Math" w:hAnsi="Cambria Math"/>
                </w:rPr>
              </m:ctrlPr>
            </m:sSubPr>
            <m:e>
              <m:r>
                <w:rPr>
                  <w:rFonts w:ascii="Cambria Math" w:hAnsi="Cambria Math"/>
                </w:rPr>
                <m:t>P</m:t>
              </m:r>
            </m:e>
            <m:sub>
              <m:r>
                <w:rPr>
                  <w:rFonts w:ascii="Cambria Math" w:hAnsi="Cambria Math"/>
                </w:rPr>
                <m:t>t</m:t>
              </m:r>
            </m:sub>
          </m:sSub>
          <m:r>
            <w:rPr>
              <w:rFonts w:ascii="Cambria Math" w:hAnsi="Cambria Math"/>
            </w:rPr>
            <m:t>+RE</m:t>
          </m:r>
          <m:sSub>
            <m:sSubPr>
              <m:ctrlPr>
                <w:rPr>
                  <w:rFonts w:ascii="Cambria Math" w:hAnsi="Cambria Math"/>
                </w:rPr>
              </m:ctrlPr>
            </m:sSubPr>
            <m:e>
              <m:r>
                <w:rPr>
                  <w:rFonts w:ascii="Cambria Math" w:hAnsi="Cambria Math"/>
                </w:rPr>
                <m:t>C</m:t>
              </m:r>
            </m:e>
            <m:sub>
              <m:r>
                <w:rPr>
                  <w:rFonts w:ascii="Cambria Math" w:hAnsi="Cambria Math"/>
                </w:rPr>
                <m:t>t</m:t>
              </m:r>
            </m:sub>
          </m:sSub>
          <m:r>
            <w:rPr>
              <w:rFonts w:ascii="Cambria Math" w:hAnsi="Cambria Math"/>
            </w:rPr>
            <m:t>×REC</m:t>
          </m:r>
          <m:r>
            <m:rPr>
              <m:sty m:val="p"/>
            </m:rPr>
            <w:rPr>
              <w:rFonts w:ascii="Cambria Math" w:hAnsi="Cambria Math"/>
            </w:rPr>
            <m:t> </m:t>
          </m:r>
          <m:r>
            <w:rPr>
              <w:rFonts w:ascii="Cambria Math" w:hAnsi="Cambria Math"/>
            </w:rPr>
            <m:t>Weight</m:t>
          </m:r>
          <m:r>
            <w:rPr>
              <w:i/>
            </w:rPr>
            <w:br/>
          </m:r>
        </m:oMath>
      </m:oMathPara>
    </w:p>
    <w:p w14:paraId="34C9255D" w14:textId="77777777" w:rsidR="00852AF6" w:rsidRPr="00852AF6" w:rsidRDefault="00852AF6" w:rsidP="00852AF6">
      <w:r w:rsidRPr="00852AF6">
        <w:t>Where:</w:t>
      </w:r>
    </w:p>
    <w:p w14:paraId="23AB268C" w14:textId="77777777" w:rsidR="00852AF6" w:rsidRPr="00852AF6" w:rsidRDefault="00852AF6" w:rsidP="00852AF6">
      <w:pPr>
        <w:numPr>
          <w:ilvl w:val="0"/>
          <w:numId w:val="9"/>
        </w:numPr>
      </w:pPr>
      <w:r w:rsidRPr="00852AF6">
        <w:rPr>
          <w:b/>
          <w:bCs/>
        </w:rPr>
        <w:t>SMP</w:t>
      </w:r>
      <w:r w:rsidRPr="00852AF6">
        <w:t xml:space="preserve"> = System Marginal Price </w:t>
      </w:r>
    </w:p>
    <w:p w14:paraId="77F28074" w14:textId="77777777" w:rsidR="00852AF6" w:rsidRPr="00852AF6" w:rsidRDefault="00852AF6" w:rsidP="00852AF6">
      <w:pPr>
        <w:numPr>
          <w:ilvl w:val="0"/>
          <w:numId w:val="9"/>
        </w:numPr>
      </w:pPr>
      <w:r w:rsidRPr="00852AF6">
        <w:rPr>
          <w:b/>
          <w:bCs/>
        </w:rPr>
        <w:t>REC</w:t>
      </w:r>
      <w:r w:rsidRPr="00852AF6">
        <w:t xml:space="preserve"> = Renewable Energy Certificate </w:t>
      </w:r>
    </w:p>
    <w:p w14:paraId="2D36D9CD" w14:textId="77777777" w:rsidR="00852AF6" w:rsidRPr="00852AF6" w:rsidRDefault="00852AF6" w:rsidP="00852AF6">
      <w:pPr>
        <w:numPr>
          <w:ilvl w:val="0"/>
          <w:numId w:val="9"/>
        </w:numPr>
      </w:pPr>
      <w:r w:rsidRPr="00852AF6">
        <w:rPr>
          <w:b/>
          <w:bCs/>
        </w:rPr>
        <w:t>REC Weight</w:t>
      </w:r>
      <w:r w:rsidRPr="00852AF6">
        <w:t xml:space="preserve"> = Policy-based renewable weighting factor </w:t>
      </w:r>
    </w:p>
    <w:p w14:paraId="2C4E6A76" w14:textId="77777777" w:rsidR="00852AF6" w:rsidRPr="00852AF6" w:rsidRDefault="00852AF6" w:rsidP="00852AF6">
      <w:pPr>
        <w:numPr>
          <w:ilvl w:val="0"/>
          <w:numId w:val="9"/>
        </w:numPr>
      </w:pPr>
      <w:r w:rsidRPr="00852AF6">
        <w:rPr>
          <w:b/>
          <w:bCs/>
        </w:rPr>
        <w:t>kWh</w:t>
      </w:r>
      <w:r w:rsidRPr="00852AF6">
        <w:t xml:space="preserve"> = Electricity output </w:t>
      </w:r>
    </w:p>
    <w:p w14:paraId="5756F44D" w14:textId="77777777" w:rsidR="00852AF6" w:rsidRPr="00852AF6" w:rsidRDefault="00852AF6" w:rsidP="00852AF6">
      <w:r w:rsidRPr="00852AF6">
        <w:t>If REC is quoted as KRW/REC and 1 REC equals 1 MWh, the approximate kWh conversion is:</w:t>
      </w:r>
    </w:p>
    <w:p w14:paraId="3DE71A18" w14:textId="4E8A16C1" w:rsidR="00852AF6" w:rsidRPr="00852AF6" w:rsidRDefault="00852AF6" w:rsidP="00852AF6">
      <m:oMathPara>
        <m:oMath>
          <m:r>
            <w:rPr>
              <w:rFonts w:ascii="Cambria Math" w:hAnsi="Cambria Math"/>
            </w:rPr>
            <m:t>REC</m:t>
          </m:r>
          <m:r>
            <m:rPr>
              <m:sty m:val="p"/>
            </m:rPr>
            <w:rPr>
              <w:rFonts w:ascii="Cambria Math" w:hAnsi="Cambria Math"/>
            </w:rPr>
            <m:t> </m:t>
          </m:r>
          <m:r>
            <w:rPr>
              <w:rFonts w:ascii="Cambria Math" w:hAnsi="Cambria Math"/>
            </w:rPr>
            <m:t>Value</m:t>
          </m:r>
          <m:r>
            <m:rPr>
              <m:sty m:val="p"/>
            </m:rPr>
            <w:rPr>
              <w:rFonts w:ascii="Cambria Math" w:hAnsi="Cambria Math"/>
            </w:rPr>
            <m:t> </m:t>
          </m:r>
          <m:r>
            <w:rPr>
              <w:rFonts w:ascii="Cambria Math" w:hAnsi="Cambria Math"/>
            </w:rPr>
            <m:t>per</m:t>
          </m:r>
          <m:r>
            <m:rPr>
              <m:sty m:val="p"/>
            </m:rPr>
            <w:rPr>
              <w:rFonts w:ascii="Cambria Math" w:hAnsi="Cambria Math"/>
            </w:rPr>
            <m:t> </m:t>
          </m:r>
          <m:r>
            <w:rPr>
              <w:rFonts w:ascii="Cambria Math" w:hAnsi="Cambria Math"/>
            </w:rPr>
            <m:t>kWh=</m:t>
          </m:r>
          <m:f>
            <m:fPr>
              <m:ctrlPr>
                <w:rPr>
                  <w:rFonts w:ascii="Cambria Math" w:hAnsi="Cambria Math"/>
                </w:rPr>
              </m:ctrlPr>
            </m:fPr>
            <m:num>
              <m:r>
                <w:rPr>
                  <w:rFonts w:ascii="Cambria Math" w:hAnsi="Cambria Math"/>
                </w:rPr>
                <m:t>REC</m:t>
              </m:r>
              <m:r>
                <m:rPr>
                  <m:sty m:val="p"/>
                </m:rPr>
                <w:rPr>
                  <w:rFonts w:ascii="Cambria Math" w:hAnsi="Cambria Math"/>
                </w:rPr>
                <m:t> </m:t>
              </m:r>
              <m:r>
                <w:rPr>
                  <w:rFonts w:ascii="Cambria Math" w:hAnsi="Cambria Math"/>
                </w:rPr>
                <m:t>Price</m:t>
              </m:r>
            </m:num>
            <m:den>
              <m:r>
                <w:rPr>
                  <w:rFonts w:ascii="Cambria Math" w:hAnsi="Cambria Math"/>
                </w:rPr>
                <m:t>1,000</m:t>
              </m:r>
            </m:den>
          </m:f>
          <m:r>
            <w:br/>
          </m:r>
        </m:oMath>
      </m:oMathPara>
    </w:p>
    <w:p w14:paraId="65E0E8AD" w14:textId="77777777" w:rsidR="00852AF6" w:rsidRPr="00852AF6" w:rsidRDefault="00852AF6" w:rsidP="00852AF6">
      <w:pPr>
        <w:rPr>
          <w:b/>
          <w:bCs/>
        </w:rPr>
      </w:pPr>
      <w:r w:rsidRPr="00852AF6">
        <w:rPr>
          <w:b/>
          <w:bCs/>
        </w:rPr>
        <w:t>6.4 Proof of Energy</w:t>
      </w:r>
    </w:p>
    <w:p w14:paraId="004B2C83" w14:textId="77777777" w:rsidR="00852AF6" w:rsidRPr="00852AF6" w:rsidRDefault="00852AF6" w:rsidP="00852AF6">
      <w:r w:rsidRPr="00852AF6">
        <w:t xml:space="preserve">Proof of Energy verifies that the power plant </w:t>
      </w:r>
      <w:proofErr w:type="gramStart"/>
      <w:r w:rsidRPr="00852AF6">
        <w:t>actually produced</w:t>
      </w:r>
      <w:proofErr w:type="gramEnd"/>
      <w:r w:rsidRPr="00852AF6">
        <w:t xml:space="preserve"> electricity.</w:t>
      </w:r>
    </w:p>
    <w:p w14:paraId="5EF75423" w14:textId="77777777" w:rsidR="00852AF6" w:rsidRPr="00852AF6" w:rsidRDefault="00852AF6" w:rsidP="00852AF6">
      <w:r w:rsidRPr="00852AF6">
        <w:t>It may include:</w:t>
      </w:r>
    </w:p>
    <w:p w14:paraId="5163A58C" w14:textId="77777777" w:rsidR="00852AF6" w:rsidRPr="00852AF6" w:rsidRDefault="00852AF6" w:rsidP="00852AF6">
      <w:pPr>
        <w:numPr>
          <w:ilvl w:val="0"/>
          <w:numId w:val="10"/>
        </w:numPr>
      </w:pPr>
      <w:r w:rsidRPr="00852AF6">
        <w:t xml:space="preserve">Daily generation record </w:t>
      </w:r>
    </w:p>
    <w:p w14:paraId="76D2C41F" w14:textId="77777777" w:rsidR="00852AF6" w:rsidRPr="00852AF6" w:rsidRDefault="00852AF6" w:rsidP="00852AF6">
      <w:pPr>
        <w:numPr>
          <w:ilvl w:val="0"/>
          <w:numId w:val="10"/>
        </w:numPr>
      </w:pPr>
      <w:r w:rsidRPr="00852AF6">
        <w:t xml:space="preserve">Metered exported power </w:t>
      </w:r>
    </w:p>
    <w:p w14:paraId="0EBAD86B" w14:textId="77777777" w:rsidR="00852AF6" w:rsidRPr="00852AF6" w:rsidRDefault="00852AF6" w:rsidP="00852AF6">
      <w:pPr>
        <w:numPr>
          <w:ilvl w:val="0"/>
          <w:numId w:val="10"/>
        </w:numPr>
      </w:pPr>
      <w:r w:rsidRPr="00852AF6">
        <w:t xml:space="preserve">Solar inverter logs </w:t>
      </w:r>
    </w:p>
    <w:p w14:paraId="310D3DCA" w14:textId="77777777" w:rsidR="00852AF6" w:rsidRPr="00852AF6" w:rsidRDefault="00852AF6" w:rsidP="00852AF6">
      <w:pPr>
        <w:numPr>
          <w:ilvl w:val="0"/>
          <w:numId w:val="10"/>
        </w:numPr>
      </w:pPr>
      <w:r w:rsidRPr="00852AF6">
        <w:t xml:space="preserve">REC settlement data </w:t>
      </w:r>
    </w:p>
    <w:p w14:paraId="64083BB5" w14:textId="77777777" w:rsidR="00852AF6" w:rsidRPr="00852AF6" w:rsidRDefault="00852AF6" w:rsidP="00852AF6">
      <w:pPr>
        <w:numPr>
          <w:ilvl w:val="0"/>
          <w:numId w:val="10"/>
        </w:numPr>
      </w:pPr>
      <w:r w:rsidRPr="00852AF6">
        <w:t xml:space="preserve">Grid confirmation </w:t>
      </w:r>
    </w:p>
    <w:p w14:paraId="2AE779FA" w14:textId="77777777" w:rsidR="00852AF6" w:rsidRPr="00852AF6" w:rsidRDefault="00852AF6" w:rsidP="00852AF6">
      <w:pPr>
        <w:numPr>
          <w:ilvl w:val="0"/>
          <w:numId w:val="10"/>
        </w:numPr>
      </w:pPr>
      <w:r w:rsidRPr="00852AF6">
        <w:t xml:space="preserve">Signed data attestations </w:t>
      </w:r>
    </w:p>
    <w:p w14:paraId="0D3F42E4" w14:textId="77777777" w:rsidR="00852AF6" w:rsidRPr="00852AF6" w:rsidRDefault="00852AF6" w:rsidP="00852AF6">
      <w:pPr>
        <w:rPr>
          <w:b/>
          <w:bCs/>
        </w:rPr>
      </w:pPr>
      <w:r w:rsidRPr="00852AF6">
        <w:rPr>
          <w:b/>
          <w:bCs/>
        </w:rPr>
        <w:t>6.5 Proof of Reserve</w:t>
      </w:r>
    </w:p>
    <w:p w14:paraId="4EF5DADA" w14:textId="77777777" w:rsidR="00852AF6" w:rsidRPr="00852AF6" w:rsidRDefault="00852AF6" w:rsidP="00852AF6">
      <w:r w:rsidRPr="00852AF6">
        <w:t>Proof of Reserve verifies whether the tokenized asset is adequately backed.</w:t>
      </w:r>
    </w:p>
    <w:p w14:paraId="48D9B59C" w14:textId="77777777" w:rsidR="00852AF6" w:rsidRPr="00852AF6" w:rsidRDefault="00852AF6" w:rsidP="00852AF6">
      <w:r w:rsidRPr="00852AF6">
        <w:t>It may include:</w:t>
      </w:r>
    </w:p>
    <w:p w14:paraId="63190866" w14:textId="77777777" w:rsidR="00852AF6" w:rsidRPr="00852AF6" w:rsidRDefault="00852AF6" w:rsidP="00852AF6">
      <w:pPr>
        <w:numPr>
          <w:ilvl w:val="0"/>
          <w:numId w:val="11"/>
        </w:numPr>
      </w:pPr>
      <w:r w:rsidRPr="00852AF6">
        <w:t xml:space="preserve">Solar asset ownership or revenue rights </w:t>
      </w:r>
    </w:p>
    <w:p w14:paraId="52640C04" w14:textId="77777777" w:rsidR="00852AF6" w:rsidRPr="00852AF6" w:rsidRDefault="00852AF6" w:rsidP="00852AF6">
      <w:pPr>
        <w:numPr>
          <w:ilvl w:val="0"/>
          <w:numId w:val="11"/>
        </w:numPr>
      </w:pPr>
      <w:r w:rsidRPr="00852AF6">
        <w:t xml:space="preserve">Treasury balance </w:t>
      </w:r>
    </w:p>
    <w:p w14:paraId="632DE2EC" w14:textId="77777777" w:rsidR="00852AF6" w:rsidRPr="00852AF6" w:rsidRDefault="00852AF6" w:rsidP="00852AF6">
      <w:pPr>
        <w:numPr>
          <w:ilvl w:val="0"/>
          <w:numId w:val="11"/>
        </w:numPr>
      </w:pPr>
      <w:r w:rsidRPr="00852AF6">
        <w:t xml:space="preserve">REC inventory </w:t>
      </w:r>
    </w:p>
    <w:p w14:paraId="72676008" w14:textId="77777777" w:rsidR="00852AF6" w:rsidRPr="00852AF6" w:rsidRDefault="00852AF6" w:rsidP="00852AF6">
      <w:pPr>
        <w:numPr>
          <w:ilvl w:val="0"/>
          <w:numId w:val="11"/>
        </w:numPr>
      </w:pPr>
      <w:r w:rsidRPr="00852AF6">
        <w:t xml:space="preserve">Insurance coverage </w:t>
      </w:r>
    </w:p>
    <w:p w14:paraId="02DC0D1E" w14:textId="77777777" w:rsidR="00852AF6" w:rsidRPr="00852AF6" w:rsidRDefault="00852AF6" w:rsidP="00852AF6">
      <w:pPr>
        <w:numPr>
          <w:ilvl w:val="0"/>
          <w:numId w:val="11"/>
        </w:numPr>
      </w:pPr>
      <w:r w:rsidRPr="00852AF6">
        <w:t xml:space="preserve">Outstanding liabilities </w:t>
      </w:r>
    </w:p>
    <w:p w14:paraId="4EEFF544" w14:textId="77777777" w:rsidR="00852AF6" w:rsidRPr="00852AF6" w:rsidRDefault="00852AF6" w:rsidP="00852AF6">
      <w:pPr>
        <w:numPr>
          <w:ilvl w:val="0"/>
          <w:numId w:val="11"/>
        </w:numPr>
      </w:pPr>
      <w:r w:rsidRPr="00852AF6">
        <w:t xml:space="preserve">SPC circulating supply </w:t>
      </w:r>
    </w:p>
    <w:p w14:paraId="66A1027A" w14:textId="77777777" w:rsidR="00852AF6" w:rsidRPr="00852AF6" w:rsidRDefault="00852AF6" w:rsidP="00852AF6">
      <w:pPr>
        <w:numPr>
          <w:ilvl w:val="0"/>
          <w:numId w:val="11"/>
        </w:numPr>
      </w:pPr>
      <w:r w:rsidRPr="00852AF6">
        <w:t xml:space="preserve">Collateral coverage ratio </w:t>
      </w:r>
    </w:p>
    <w:p w14:paraId="49E8EBD2" w14:textId="77777777" w:rsidR="00852AF6" w:rsidRPr="00852AF6" w:rsidRDefault="00852AF6" w:rsidP="00852AF6">
      <w:pPr>
        <w:rPr>
          <w:b/>
          <w:bCs/>
        </w:rPr>
      </w:pPr>
      <w:r w:rsidRPr="00852AF6">
        <w:rPr>
          <w:b/>
          <w:bCs/>
        </w:rPr>
        <w:t>6.6 Proof of Revenue</w:t>
      </w:r>
    </w:p>
    <w:p w14:paraId="07ABA78B" w14:textId="77777777" w:rsidR="00852AF6" w:rsidRPr="00852AF6" w:rsidRDefault="00852AF6" w:rsidP="00852AF6">
      <w:r w:rsidRPr="00852AF6">
        <w:t>Proof of Revenue verifies actual cash flow.</w:t>
      </w:r>
    </w:p>
    <w:p w14:paraId="5F472136" w14:textId="77777777" w:rsidR="00852AF6" w:rsidRPr="00852AF6" w:rsidRDefault="00852AF6" w:rsidP="00852AF6">
      <w:r w:rsidRPr="00852AF6">
        <w:t>It may include:</w:t>
      </w:r>
    </w:p>
    <w:p w14:paraId="46D20AC7" w14:textId="77777777" w:rsidR="00852AF6" w:rsidRPr="00852AF6" w:rsidRDefault="00852AF6" w:rsidP="00852AF6">
      <w:pPr>
        <w:numPr>
          <w:ilvl w:val="0"/>
          <w:numId w:val="12"/>
        </w:numPr>
      </w:pPr>
      <w:r w:rsidRPr="00852AF6">
        <w:t xml:space="preserve">SMP settlement proceeds </w:t>
      </w:r>
    </w:p>
    <w:p w14:paraId="02F45F4B" w14:textId="77777777" w:rsidR="00852AF6" w:rsidRPr="00852AF6" w:rsidRDefault="00852AF6" w:rsidP="00852AF6">
      <w:pPr>
        <w:numPr>
          <w:ilvl w:val="0"/>
          <w:numId w:val="12"/>
        </w:numPr>
      </w:pPr>
      <w:r w:rsidRPr="00852AF6">
        <w:t xml:space="preserve">REC sale proceeds </w:t>
      </w:r>
    </w:p>
    <w:p w14:paraId="73F88268" w14:textId="77777777" w:rsidR="00852AF6" w:rsidRPr="00852AF6" w:rsidRDefault="00852AF6" w:rsidP="00852AF6">
      <w:pPr>
        <w:numPr>
          <w:ilvl w:val="0"/>
          <w:numId w:val="12"/>
        </w:numPr>
      </w:pPr>
      <w:r w:rsidRPr="00852AF6">
        <w:t xml:space="preserve">PPA income </w:t>
      </w:r>
    </w:p>
    <w:p w14:paraId="1FAFB889" w14:textId="77777777" w:rsidR="00852AF6" w:rsidRPr="00852AF6" w:rsidRDefault="00852AF6" w:rsidP="00852AF6">
      <w:pPr>
        <w:numPr>
          <w:ilvl w:val="0"/>
          <w:numId w:val="12"/>
        </w:numPr>
      </w:pPr>
      <w:r w:rsidRPr="00852AF6">
        <w:t xml:space="preserve">EV charging revenue </w:t>
      </w:r>
    </w:p>
    <w:p w14:paraId="334727C7" w14:textId="77777777" w:rsidR="00852AF6" w:rsidRPr="00852AF6" w:rsidRDefault="00852AF6" w:rsidP="00852AF6">
      <w:pPr>
        <w:numPr>
          <w:ilvl w:val="0"/>
          <w:numId w:val="12"/>
        </w:numPr>
      </w:pPr>
      <w:r w:rsidRPr="00852AF6">
        <w:t xml:space="preserve">Protocol fee revenue </w:t>
      </w:r>
    </w:p>
    <w:p w14:paraId="4BCDC61F" w14:textId="77777777" w:rsidR="00852AF6" w:rsidRPr="00852AF6" w:rsidRDefault="00852AF6" w:rsidP="00852AF6">
      <w:pPr>
        <w:numPr>
          <w:ilvl w:val="0"/>
          <w:numId w:val="12"/>
        </w:numPr>
      </w:pPr>
      <w:r w:rsidRPr="00852AF6">
        <w:t xml:space="preserve">Treasury inflows </w:t>
      </w:r>
    </w:p>
    <w:p w14:paraId="30368262" w14:textId="77777777" w:rsidR="00852AF6" w:rsidRPr="00852AF6" w:rsidRDefault="00852AF6" w:rsidP="00852AF6">
      <w:r w:rsidRPr="00852AF6">
        <w:t>Together, these three mechanisms form the Project S verification stack:</w:t>
      </w:r>
    </w:p>
    <w:p w14:paraId="3634AB64" w14:textId="77777777" w:rsidR="00852AF6" w:rsidRPr="00852AF6" w:rsidRDefault="00852AF6" w:rsidP="00852AF6">
      <w:r w:rsidRPr="00852AF6">
        <w:rPr>
          <w:b/>
          <w:bCs/>
        </w:rPr>
        <w:t>Proof of Energy + Proof of Reserve + Proof of Revenue = Trust-Minimized Energy RWA</w:t>
      </w:r>
    </w:p>
    <w:p w14:paraId="1D9FE13D" w14:textId="77777777" w:rsidR="00852AF6" w:rsidRPr="00852AF6" w:rsidRDefault="00852AF6" w:rsidP="00852AF6">
      <w:r w:rsidRPr="00852AF6">
        <w:pict w14:anchorId="0F3643F9">
          <v:rect id="_x0000_i1176" style="width:0;height:1.5pt" o:hralign="center" o:hrstd="t" o:hr="t" fillcolor="#a0a0a0" stroked="f"/>
        </w:pict>
      </w:r>
    </w:p>
    <w:p w14:paraId="1990A6B2" w14:textId="77777777" w:rsidR="00852AF6" w:rsidRPr="00852AF6" w:rsidRDefault="00852AF6" w:rsidP="00852AF6">
      <w:pPr>
        <w:rPr>
          <w:b/>
          <w:bCs/>
        </w:rPr>
      </w:pPr>
      <w:r w:rsidRPr="00852AF6">
        <w:rPr>
          <w:b/>
          <w:bCs/>
        </w:rPr>
        <w:t>7. SPC Solar Power Coin</w:t>
      </w:r>
    </w:p>
    <w:p w14:paraId="5D57C3B8" w14:textId="77777777" w:rsidR="00852AF6" w:rsidRPr="00852AF6" w:rsidRDefault="00852AF6" w:rsidP="00852AF6">
      <w:pPr>
        <w:rPr>
          <w:b/>
          <w:bCs/>
        </w:rPr>
      </w:pPr>
      <w:r w:rsidRPr="00852AF6">
        <w:rPr>
          <w:b/>
          <w:bCs/>
        </w:rPr>
        <w:t>7.1 Overview</w:t>
      </w:r>
    </w:p>
    <w:p w14:paraId="0AFC4782" w14:textId="77777777" w:rsidR="00852AF6" w:rsidRPr="00852AF6" w:rsidRDefault="00852AF6" w:rsidP="00852AF6">
      <w:r w:rsidRPr="00852AF6">
        <w:t>SPC is the Energy RWA reference token of the Project S ecosystem.</w:t>
      </w:r>
    </w:p>
    <w:p w14:paraId="0B4FFBA7" w14:textId="77777777" w:rsidR="00852AF6" w:rsidRPr="00852AF6" w:rsidRDefault="00852AF6" w:rsidP="00852AF6">
      <w:r w:rsidRPr="00852AF6">
        <w:t>It is designed to represent access to the economic logic of renewable power generation, energy value indexing, staking participation, EV charging utility, and future energy settlement functions.</w:t>
      </w:r>
    </w:p>
    <w:p w14:paraId="1675FCB4" w14:textId="77777777" w:rsidR="00852AF6" w:rsidRPr="00852AF6" w:rsidRDefault="00852AF6" w:rsidP="00852AF6">
      <w:pPr>
        <w:rPr>
          <w:b/>
          <w:bCs/>
        </w:rPr>
      </w:pPr>
      <w:r w:rsidRPr="00852AF6">
        <w:rPr>
          <w:b/>
          <w:bCs/>
        </w:rPr>
        <w:t>7.2 Core Functions</w:t>
      </w:r>
    </w:p>
    <w:p w14:paraId="476C405C" w14:textId="77777777" w:rsidR="00852AF6" w:rsidRPr="00852AF6" w:rsidRDefault="00852AF6" w:rsidP="00852AF6">
      <w:r w:rsidRPr="00852AF6">
        <w:t>SPC may be used for:</w:t>
      </w:r>
    </w:p>
    <w:p w14:paraId="1EEDE164" w14:textId="77777777" w:rsidR="00852AF6" w:rsidRPr="00852AF6" w:rsidRDefault="00852AF6" w:rsidP="00852AF6">
      <w:pPr>
        <w:numPr>
          <w:ilvl w:val="0"/>
          <w:numId w:val="13"/>
        </w:numPr>
      </w:pPr>
      <w:r w:rsidRPr="00852AF6">
        <w:t xml:space="preserve">Energy RWA exposure </w:t>
      </w:r>
    </w:p>
    <w:p w14:paraId="26EC763F" w14:textId="77777777" w:rsidR="00852AF6" w:rsidRPr="00852AF6" w:rsidRDefault="00852AF6" w:rsidP="00852AF6">
      <w:pPr>
        <w:numPr>
          <w:ilvl w:val="0"/>
          <w:numId w:val="13"/>
        </w:numPr>
      </w:pPr>
      <w:r w:rsidRPr="00852AF6">
        <w:t xml:space="preserve">Staking participation </w:t>
      </w:r>
    </w:p>
    <w:p w14:paraId="58811C36" w14:textId="77777777" w:rsidR="00852AF6" w:rsidRPr="00852AF6" w:rsidRDefault="00852AF6" w:rsidP="00852AF6">
      <w:pPr>
        <w:numPr>
          <w:ilvl w:val="0"/>
          <w:numId w:val="13"/>
        </w:numPr>
      </w:pPr>
      <w:r w:rsidRPr="00852AF6">
        <w:t xml:space="preserve">SPC-SLC swap </w:t>
      </w:r>
    </w:p>
    <w:p w14:paraId="6C242ED6" w14:textId="77777777" w:rsidR="00852AF6" w:rsidRPr="00852AF6" w:rsidRDefault="00852AF6" w:rsidP="00852AF6">
      <w:pPr>
        <w:numPr>
          <w:ilvl w:val="0"/>
          <w:numId w:val="13"/>
        </w:numPr>
      </w:pPr>
      <w:r w:rsidRPr="00852AF6">
        <w:t xml:space="preserve">EV charging payment and discount utility </w:t>
      </w:r>
    </w:p>
    <w:p w14:paraId="4325C52C" w14:textId="77777777" w:rsidR="00852AF6" w:rsidRPr="00852AF6" w:rsidRDefault="00852AF6" w:rsidP="00852AF6">
      <w:pPr>
        <w:numPr>
          <w:ilvl w:val="0"/>
          <w:numId w:val="13"/>
        </w:numPr>
      </w:pPr>
      <w:r w:rsidRPr="00852AF6">
        <w:t xml:space="preserve">Energy credit accounting </w:t>
      </w:r>
    </w:p>
    <w:p w14:paraId="1B0A0586" w14:textId="77777777" w:rsidR="00852AF6" w:rsidRPr="00852AF6" w:rsidRDefault="00852AF6" w:rsidP="00852AF6">
      <w:pPr>
        <w:numPr>
          <w:ilvl w:val="0"/>
          <w:numId w:val="13"/>
        </w:numPr>
      </w:pPr>
      <w:r w:rsidRPr="00852AF6">
        <w:t xml:space="preserve">Future PPA-linked settlement </w:t>
      </w:r>
    </w:p>
    <w:p w14:paraId="6A82A5AB" w14:textId="77777777" w:rsidR="00852AF6" w:rsidRPr="00852AF6" w:rsidRDefault="00852AF6" w:rsidP="00852AF6">
      <w:pPr>
        <w:numPr>
          <w:ilvl w:val="0"/>
          <w:numId w:val="13"/>
        </w:numPr>
      </w:pPr>
      <w:proofErr w:type="spellStart"/>
      <w:r w:rsidRPr="00852AF6">
        <w:t>Supervizion</w:t>
      </w:r>
      <w:proofErr w:type="spellEnd"/>
      <w:r w:rsidRPr="00852AF6">
        <w:t xml:space="preserve"> Wallet utility </w:t>
      </w:r>
    </w:p>
    <w:p w14:paraId="311A6F9B" w14:textId="77777777" w:rsidR="00852AF6" w:rsidRPr="00852AF6" w:rsidRDefault="00852AF6" w:rsidP="00852AF6">
      <w:pPr>
        <w:numPr>
          <w:ilvl w:val="0"/>
          <w:numId w:val="13"/>
        </w:numPr>
      </w:pPr>
      <w:r w:rsidRPr="00852AF6">
        <w:t xml:space="preserve">Governance-linked participation, subject to legal review </w:t>
      </w:r>
    </w:p>
    <w:p w14:paraId="5E386905" w14:textId="77777777" w:rsidR="00852AF6" w:rsidRPr="00852AF6" w:rsidRDefault="00852AF6" w:rsidP="00852AF6">
      <w:pPr>
        <w:rPr>
          <w:b/>
          <w:bCs/>
        </w:rPr>
      </w:pPr>
      <w:r w:rsidRPr="00852AF6">
        <w:rPr>
          <w:b/>
          <w:bCs/>
        </w:rPr>
        <w:t>7.3 Energy Reference Value</w:t>
      </w:r>
    </w:p>
    <w:p w14:paraId="3521CB3F" w14:textId="77777777" w:rsidR="00852AF6" w:rsidRPr="00852AF6" w:rsidRDefault="00852AF6" w:rsidP="00852AF6">
      <w:r w:rsidRPr="00852AF6">
        <w:t>SPC uses an Energy Reference Value rather than an unconditional hard peg.</w:t>
      </w:r>
    </w:p>
    <w:p w14:paraId="6C7EEEF9" w14:textId="7933FF4D" w:rsidR="00852AF6" w:rsidRPr="00852AF6" w:rsidRDefault="00852AF6" w:rsidP="00852AF6">
      <m:oMathPara>
        <m:oMath>
          <m:r>
            <w:rPr>
              <w:rFonts w:ascii="Cambria Math" w:hAnsi="Cambria Math"/>
            </w:rPr>
            <m:t>SPC</m:t>
          </m:r>
          <m:r>
            <m:rPr>
              <m:sty m:val="p"/>
            </m:rPr>
            <w:rPr>
              <w:rFonts w:ascii="Cambria Math" w:hAnsi="Cambria Math"/>
            </w:rPr>
            <m:t> </m:t>
          </m:r>
          <m:r>
            <w:rPr>
              <w:rFonts w:ascii="Cambria Math" w:hAnsi="Cambria Math"/>
            </w:rPr>
            <m:t>Reference</m:t>
          </m:r>
          <m:r>
            <m:rPr>
              <m:sty m:val="p"/>
            </m:rPr>
            <w:rPr>
              <w:rFonts w:ascii="Cambria Math" w:hAnsi="Cambria Math"/>
            </w:rPr>
            <m:t> </m:t>
          </m:r>
          <m:r>
            <w:rPr>
              <w:rFonts w:ascii="Cambria Math" w:hAnsi="Cambria Math"/>
            </w:rPr>
            <m:t>Valu</m:t>
          </m:r>
          <m:sSub>
            <m:sSubPr>
              <m:ctrlPr>
                <w:rPr>
                  <w:rFonts w:ascii="Cambria Math" w:hAnsi="Cambria Math"/>
                </w:rPr>
              </m:ctrlPr>
            </m:sSubPr>
            <m:e>
              <m:r>
                <w:rPr>
                  <w:rFonts w:ascii="Cambria Math" w:hAnsi="Cambria Math"/>
                </w:rPr>
                <m:t>e</m:t>
              </m:r>
            </m:e>
            <m:sub>
              <m:r>
                <w:rPr>
                  <w:rFonts w:ascii="Cambria Math" w:hAnsi="Cambria Math"/>
                </w:rPr>
                <m:t>t</m:t>
              </m:r>
            </m:sub>
          </m:sSub>
          <m:r>
            <w:rPr>
              <w:rFonts w:ascii="Cambria Math" w:hAnsi="Cambria Math"/>
            </w:rPr>
            <m:t>=SM</m:t>
          </m:r>
          <m:sSub>
            <m:sSubPr>
              <m:ctrlPr>
                <w:rPr>
                  <w:rFonts w:ascii="Cambria Math" w:hAnsi="Cambria Math"/>
                </w:rPr>
              </m:ctrlPr>
            </m:sSubPr>
            <m:e>
              <m:r>
                <w:rPr>
                  <w:rFonts w:ascii="Cambria Math" w:hAnsi="Cambria Math"/>
                </w:rPr>
                <m:t>P</m:t>
              </m:r>
            </m:e>
            <m:sub>
              <m:r>
                <w:rPr>
                  <w:rFonts w:ascii="Cambria Math" w:hAnsi="Cambria Math"/>
                </w:rPr>
                <m:t>t</m:t>
              </m:r>
            </m:sub>
          </m:sSub>
          <m:r>
            <w:rPr>
              <w:rFonts w:ascii="Cambria Math" w:hAnsi="Cambria Math"/>
            </w:rPr>
            <m:t>+RECkW</m:t>
          </m:r>
          <m:sSub>
            <m:sSubPr>
              <m:ctrlPr>
                <w:rPr>
                  <w:rFonts w:ascii="Cambria Math" w:hAnsi="Cambria Math"/>
                </w:rPr>
              </m:ctrlPr>
            </m:sSubPr>
            <m:e>
              <m:r>
                <w:rPr>
                  <w:rFonts w:ascii="Cambria Math" w:hAnsi="Cambria Math"/>
                </w:rPr>
                <m:t>h</m:t>
              </m:r>
            </m:e>
            <m:sub>
              <m:r>
                <w:rPr>
                  <w:rFonts w:ascii="Cambria Math" w:hAnsi="Cambria Math"/>
                </w:rPr>
                <m:t>t</m:t>
              </m:r>
            </m:sub>
          </m:sSub>
          <m:r>
            <w:rPr>
              <w:rFonts w:ascii="Cambria Math" w:hAnsi="Cambria Math"/>
            </w:rPr>
            <m:t>+PPA</m:t>
          </m:r>
          <m:r>
            <m:rPr>
              <m:sty m:val="p"/>
            </m:rPr>
            <w:rPr>
              <w:rFonts w:ascii="Cambria Math" w:hAnsi="Cambria Math"/>
            </w:rPr>
            <m:t> </m:t>
          </m:r>
          <m:r>
            <w:rPr>
              <w:rFonts w:ascii="Cambria Math" w:hAnsi="Cambria Math"/>
            </w:rPr>
            <m:t>Premiu</m:t>
          </m:r>
          <m:sSub>
            <m:sSubPr>
              <m:ctrlPr>
                <w:rPr>
                  <w:rFonts w:ascii="Cambria Math" w:hAnsi="Cambria Math"/>
                </w:rPr>
              </m:ctrlPr>
            </m:sSubPr>
            <m:e>
              <m:r>
                <w:rPr>
                  <w:rFonts w:ascii="Cambria Math" w:hAnsi="Cambria Math"/>
                </w:rPr>
                <m:t>m</m:t>
              </m:r>
            </m:e>
            <m:sub>
              <m:r>
                <w:rPr>
                  <w:rFonts w:ascii="Cambria Math" w:hAnsi="Cambria Math"/>
                </w:rPr>
                <m:t>t</m:t>
              </m:r>
            </m:sub>
          </m:sSub>
          <m:r>
            <w:rPr>
              <w:rFonts w:ascii="Cambria Math" w:hAnsi="Cambria Math"/>
            </w:rPr>
            <m:t>+Utility</m:t>
          </m:r>
          <m:r>
            <m:rPr>
              <m:sty m:val="p"/>
            </m:rPr>
            <w:rPr>
              <w:rFonts w:ascii="Cambria Math" w:hAnsi="Cambria Math"/>
            </w:rPr>
            <m:t> </m:t>
          </m:r>
          <m:r>
            <w:rPr>
              <w:rFonts w:ascii="Cambria Math" w:hAnsi="Cambria Math"/>
            </w:rPr>
            <m:t>Premiu</m:t>
          </m:r>
          <m:sSub>
            <m:sSubPr>
              <m:ctrlPr>
                <w:rPr>
                  <w:rFonts w:ascii="Cambria Math" w:hAnsi="Cambria Math"/>
                </w:rPr>
              </m:ctrlPr>
            </m:sSubPr>
            <m:e>
              <m:r>
                <w:rPr>
                  <w:rFonts w:ascii="Cambria Math" w:hAnsi="Cambria Math"/>
                </w:rPr>
                <m:t>m</m:t>
              </m:r>
            </m:e>
            <m:sub>
              <m:r>
                <w:rPr>
                  <w:rFonts w:ascii="Cambria Math" w:hAnsi="Cambria Math"/>
                </w:rPr>
                <m:t>t</m:t>
              </m:r>
            </m:sub>
          </m:sSub>
          <m:r>
            <w:rPr>
              <w:rFonts w:ascii="Cambria Math" w:hAnsi="Cambria Math"/>
            </w:rPr>
            <m:t>-Risk</m:t>
          </m:r>
          <m:r>
            <m:rPr>
              <m:sty m:val="p"/>
            </m:rPr>
            <w:rPr>
              <w:rFonts w:ascii="Cambria Math" w:hAnsi="Cambria Math"/>
            </w:rPr>
            <m:t> </m:t>
          </m:r>
          <m:r>
            <w:rPr>
              <w:rFonts w:ascii="Cambria Math" w:hAnsi="Cambria Math"/>
            </w:rPr>
            <m:t>Discoun</m:t>
          </m:r>
          <m:sSub>
            <m:sSubPr>
              <m:ctrlPr>
                <w:rPr>
                  <w:rFonts w:ascii="Cambria Math" w:hAnsi="Cambria Math"/>
                </w:rPr>
              </m:ctrlPr>
            </m:sSubPr>
            <m:e>
              <m:r>
                <w:rPr>
                  <w:rFonts w:ascii="Cambria Math" w:hAnsi="Cambria Math"/>
                </w:rPr>
                <m:t>t</m:t>
              </m:r>
            </m:e>
            <m:sub>
              <m:r>
                <w:rPr>
                  <w:rFonts w:ascii="Cambria Math" w:hAnsi="Cambria Math"/>
                </w:rPr>
                <m:t>t</m:t>
              </m:r>
            </m:sub>
          </m:sSub>
          <m:r>
            <w:br/>
          </m:r>
        </m:oMath>
      </m:oMathPara>
    </w:p>
    <w:p w14:paraId="5CA2C469" w14:textId="77777777" w:rsidR="00852AF6" w:rsidRPr="00852AF6" w:rsidRDefault="00852AF6" w:rsidP="00852AF6">
      <w:r w:rsidRPr="00852AF6">
        <w:t>This reference value is used for:</w:t>
      </w:r>
    </w:p>
    <w:p w14:paraId="6B55D705" w14:textId="77777777" w:rsidR="00852AF6" w:rsidRPr="00852AF6" w:rsidRDefault="00852AF6" w:rsidP="00852AF6">
      <w:pPr>
        <w:numPr>
          <w:ilvl w:val="0"/>
          <w:numId w:val="14"/>
        </w:numPr>
      </w:pPr>
      <w:r w:rsidRPr="00852AF6">
        <w:t xml:space="preserve">Issuance limits </w:t>
      </w:r>
    </w:p>
    <w:p w14:paraId="5726C3B7" w14:textId="77777777" w:rsidR="00852AF6" w:rsidRPr="00852AF6" w:rsidRDefault="00852AF6" w:rsidP="00852AF6">
      <w:pPr>
        <w:numPr>
          <w:ilvl w:val="0"/>
          <w:numId w:val="14"/>
        </w:numPr>
      </w:pPr>
      <w:r w:rsidRPr="00852AF6">
        <w:t xml:space="preserve">Reward modeling </w:t>
      </w:r>
    </w:p>
    <w:p w14:paraId="052F28B6" w14:textId="77777777" w:rsidR="00852AF6" w:rsidRPr="00852AF6" w:rsidRDefault="00852AF6" w:rsidP="00852AF6">
      <w:pPr>
        <w:numPr>
          <w:ilvl w:val="0"/>
          <w:numId w:val="14"/>
        </w:numPr>
      </w:pPr>
      <w:r w:rsidRPr="00852AF6">
        <w:t xml:space="preserve">Treasury strategy </w:t>
      </w:r>
    </w:p>
    <w:p w14:paraId="7D3990CD" w14:textId="77777777" w:rsidR="00852AF6" w:rsidRPr="00852AF6" w:rsidRDefault="00852AF6" w:rsidP="00852AF6">
      <w:pPr>
        <w:numPr>
          <w:ilvl w:val="0"/>
          <w:numId w:val="14"/>
        </w:numPr>
      </w:pPr>
      <w:r w:rsidRPr="00852AF6">
        <w:t xml:space="preserve">Redemption queue pricing </w:t>
      </w:r>
    </w:p>
    <w:p w14:paraId="2474FBA4" w14:textId="77777777" w:rsidR="00852AF6" w:rsidRPr="00852AF6" w:rsidRDefault="00852AF6" w:rsidP="00852AF6">
      <w:pPr>
        <w:numPr>
          <w:ilvl w:val="0"/>
          <w:numId w:val="14"/>
        </w:numPr>
      </w:pPr>
      <w:r w:rsidRPr="00852AF6">
        <w:t xml:space="preserve">Buyback logic </w:t>
      </w:r>
    </w:p>
    <w:p w14:paraId="36E67D19" w14:textId="77777777" w:rsidR="00852AF6" w:rsidRPr="00852AF6" w:rsidRDefault="00852AF6" w:rsidP="00852AF6">
      <w:pPr>
        <w:numPr>
          <w:ilvl w:val="0"/>
          <w:numId w:val="14"/>
        </w:numPr>
      </w:pPr>
      <w:r w:rsidRPr="00852AF6">
        <w:t xml:space="preserve">Risk monitoring </w:t>
      </w:r>
    </w:p>
    <w:p w14:paraId="4359FC9A" w14:textId="77777777" w:rsidR="00852AF6" w:rsidRPr="00852AF6" w:rsidRDefault="00852AF6" w:rsidP="00852AF6">
      <w:r w:rsidRPr="00852AF6">
        <w:t xml:space="preserve">It is important to distinguish between </w:t>
      </w:r>
      <w:r w:rsidRPr="00852AF6">
        <w:rPr>
          <w:b/>
          <w:bCs/>
        </w:rPr>
        <w:t>reference value</w:t>
      </w:r>
      <w:r w:rsidRPr="00852AF6">
        <w:t xml:space="preserve"> and </w:t>
      </w:r>
      <w:r w:rsidRPr="00852AF6">
        <w:rPr>
          <w:b/>
          <w:bCs/>
        </w:rPr>
        <w:t>market price</w:t>
      </w:r>
      <w:r w:rsidRPr="00852AF6">
        <w:t>. SPC market price may vary depending on liquidity, market conditions, lock-up status, redemption queues, DEX liquidity, treasury reserves, and user demand.</w:t>
      </w:r>
    </w:p>
    <w:p w14:paraId="6E3C7596" w14:textId="77777777" w:rsidR="00852AF6" w:rsidRPr="00852AF6" w:rsidRDefault="00852AF6" w:rsidP="00852AF6">
      <w:pPr>
        <w:rPr>
          <w:b/>
          <w:bCs/>
        </w:rPr>
      </w:pPr>
      <w:r w:rsidRPr="00852AF6">
        <w:rPr>
          <w:b/>
          <w:bCs/>
        </w:rPr>
        <w:t>7.4 SPC Issuance Policy</w:t>
      </w:r>
    </w:p>
    <w:p w14:paraId="2077ECF0" w14:textId="77777777" w:rsidR="00852AF6" w:rsidRPr="00852AF6" w:rsidRDefault="00852AF6" w:rsidP="00852AF6">
      <w:r w:rsidRPr="00852AF6">
        <w:t xml:space="preserve">SPC issuance should be limited and </w:t>
      </w:r>
      <w:proofErr w:type="gramStart"/>
      <w:r w:rsidRPr="00852AF6">
        <w:t>asset-aware</w:t>
      </w:r>
      <w:proofErr w:type="gramEnd"/>
      <w:r w:rsidRPr="00852AF6">
        <w:t>.</w:t>
      </w:r>
    </w:p>
    <w:p w14:paraId="33C966F7" w14:textId="77777777" w:rsidR="00852AF6" w:rsidRPr="00852AF6" w:rsidRDefault="00852AF6" w:rsidP="00852AF6">
      <w:r w:rsidRPr="00852AF6">
        <w:t xml:space="preserve">New SPC issuance should </w:t>
      </w:r>
      <w:proofErr w:type="gramStart"/>
      <w:r w:rsidRPr="00852AF6">
        <w:t>require</w:t>
      </w:r>
      <w:proofErr w:type="gramEnd"/>
      <w:r w:rsidRPr="00852AF6">
        <w:t>:</w:t>
      </w:r>
    </w:p>
    <w:p w14:paraId="507FD8E9" w14:textId="77777777" w:rsidR="00852AF6" w:rsidRPr="00852AF6" w:rsidRDefault="00852AF6" w:rsidP="00852AF6">
      <w:pPr>
        <w:numPr>
          <w:ilvl w:val="0"/>
          <w:numId w:val="15"/>
        </w:numPr>
      </w:pPr>
      <w:r w:rsidRPr="00852AF6">
        <w:t xml:space="preserve">Verified solar </w:t>
      </w:r>
      <w:proofErr w:type="gramStart"/>
      <w:r w:rsidRPr="00852AF6">
        <w:t>asset</w:t>
      </w:r>
      <w:proofErr w:type="gramEnd"/>
      <w:r w:rsidRPr="00852AF6">
        <w:t xml:space="preserve"> or revenue rights </w:t>
      </w:r>
    </w:p>
    <w:p w14:paraId="53B151EA" w14:textId="77777777" w:rsidR="00852AF6" w:rsidRPr="00852AF6" w:rsidRDefault="00852AF6" w:rsidP="00852AF6">
      <w:pPr>
        <w:numPr>
          <w:ilvl w:val="0"/>
          <w:numId w:val="15"/>
        </w:numPr>
      </w:pPr>
      <w:r w:rsidRPr="00852AF6">
        <w:t xml:space="preserve">Confirmed reserve coverage </w:t>
      </w:r>
    </w:p>
    <w:p w14:paraId="54A04DBB" w14:textId="77777777" w:rsidR="00852AF6" w:rsidRPr="00852AF6" w:rsidRDefault="00852AF6" w:rsidP="00852AF6">
      <w:pPr>
        <w:numPr>
          <w:ilvl w:val="0"/>
          <w:numId w:val="15"/>
        </w:numPr>
      </w:pPr>
      <w:r w:rsidRPr="00852AF6">
        <w:t xml:space="preserve">Oracle-verified energy data </w:t>
      </w:r>
    </w:p>
    <w:p w14:paraId="24D2E2F7" w14:textId="77777777" w:rsidR="00852AF6" w:rsidRPr="00852AF6" w:rsidRDefault="00852AF6" w:rsidP="00852AF6">
      <w:pPr>
        <w:numPr>
          <w:ilvl w:val="0"/>
          <w:numId w:val="15"/>
        </w:numPr>
      </w:pPr>
      <w:r w:rsidRPr="00852AF6">
        <w:t xml:space="preserve">Multi-signature approval </w:t>
      </w:r>
    </w:p>
    <w:p w14:paraId="4959E403" w14:textId="77777777" w:rsidR="00852AF6" w:rsidRPr="00852AF6" w:rsidRDefault="00852AF6" w:rsidP="00852AF6">
      <w:pPr>
        <w:numPr>
          <w:ilvl w:val="0"/>
          <w:numId w:val="15"/>
        </w:numPr>
      </w:pPr>
      <w:proofErr w:type="spellStart"/>
      <w:r w:rsidRPr="00852AF6">
        <w:t>Timelock</w:t>
      </w:r>
      <w:proofErr w:type="spellEnd"/>
      <w:r w:rsidRPr="00852AF6">
        <w:t xml:space="preserve"> execution </w:t>
      </w:r>
    </w:p>
    <w:p w14:paraId="188D2F78" w14:textId="77777777" w:rsidR="00852AF6" w:rsidRPr="00852AF6" w:rsidRDefault="00852AF6" w:rsidP="00852AF6">
      <w:pPr>
        <w:numPr>
          <w:ilvl w:val="0"/>
          <w:numId w:val="15"/>
        </w:numPr>
      </w:pPr>
      <w:r w:rsidRPr="00852AF6">
        <w:t xml:space="preserve">Public on-chain disclosure </w:t>
      </w:r>
    </w:p>
    <w:p w14:paraId="7B62C30A" w14:textId="77777777" w:rsidR="00852AF6" w:rsidRPr="00852AF6" w:rsidRDefault="00852AF6" w:rsidP="00852AF6">
      <w:pPr>
        <w:numPr>
          <w:ilvl w:val="0"/>
          <w:numId w:val="15"/>
        </w:numPr>
      </w:pPr>
      <w:r w:rsidRPr="00852AF6">
        <w:t xml:space="preserve">Independent legal and audit review </w:t>
      </w:r>
    </w:p>
    <w:p w14:paraId="16E15C88" w14:textId="77777777" w:rsidR="00852AF6" w:rsidRPr="00852AF6" w:rsidRDefault="00852AF6" w:rsidP="00852AF6">
      <w:r w:rsidRPr="00852AF6">
        <w:pict w14:anchorId="2FDA4FC5">
          <v:rect id="_x0000_i1177" style="width:0;height:1.5pt" o:hralign="center" o:hrstd="t" o:hr="t" fillcolor="#a0a0a0" stroked="f"/>
        </w:pict>
      </w:r>
    </w:p>
    <w:p w14:paraId="5EA797A9" w14:textId="77777777" w:rsidR="00852AF6" w:rsidRPr="00852AF6" w:rsidRDefault="00852AF6" w:rsidP="00852AF6">
      <w:pPr>
        <w:rPr>
          <w:b/>
          <w:bCs/>
        </w:rPr>
      </w:pPr>
      <w:r w:rsidRPr="00852AF6">
        <w:rPr>
          <w:b/>
          <w:bCs/>
        </w:rPr>
        <w:t>8. SLC Sun Light Coin</w:t>
      </w:r>
    </w:p>
    <w:p w14:paraId="5E720875" w14:textId="77777777" w:rsidR="00852AF6" w:rsidRPr="00852AF6" w:rsidRDefault="00852AF6" w:rsidP="00852AF6">
      <w:pPr>
        <w:rPr>
          <w:b/>
          <w:bCs/>
        </w:rPr>
      </w:pPr>
      <w:r w:rsidRPr="00852AF6">
        <w:rPr>
          <w:b/>
          <w:bCs/>
        </w:rPr>
        <w:t>8.1 Overview</w:t>
      </w:r>
    </w:p>
    <w:p w14:paraId="57BB5714" w14:textId="77777777" w:rsidR="00852AF6" w:rsidRPr="00852AF6" w:rsidRDefault="00852AF6" w:rsidP="00852AF6">
      <w:r w:rsidRPr="00852AF6">
        <w:t>SLC is the ecosystem utility, liquidity, and governance token of Project S.</w:t>
      </w:r>
    </w:p>
    <w:p w14:paraId="49088DA8" w14:textId="77777777" w:rsidR="00852AF6" w:rsidRPr="00852AF6" w:rsidRDefault="00852AF6" w:rsidP="00852AF6">
      <w:r w:rsidRPr="00852AF6">
        <w:t>While SPC functions as the energy RWA reference asset, SLC functions as the network coordination token that powers liquidity, fees, governance, staking incentives, buybacks, and ecosystem expansion.</w:t>
      </w:r>
    </w:p>
    <w:p w14:paraId="682F3561" w14:textId="77777777" w:rsidR="00852AF6" w:rsidRPr="00852AF6" w:rsidRDefault="00852AF6" w:rsidP="00852AF6">
      <w:pPr>
        <w:rPr>
          <w:b/>
          <w:bCs/>
        </w:rPr>
      </w:pPr>
      <w:r w:rsidRPr="00852AF6">
        <w:rPr>
          <w:b/>
          <w:bCs/>
        </w:rPr>
        <w:t>8.2 Core Functions</w:t>
      </w:r>
    </w:p>
    <w:p w14:paraId="761FB1C9" w14:textId="77777777" w:rsidR="00852AF6" w:rsidRPr="00852AF6" w:rsidRDefault="00852AF6" w:rsidP="00852AF6">
      <w:r w:rsidRPr="00852AF6">
        <w:t>SLC may be used for:</w:t>
      </w:r>
    </w:p>
    <w:p w14:paraId="38F46D46" w14:textId="77777777" w:rsidR="00852AF6" w:rsidRPr="00852AF6" w:rsidRDefault="00852AF6" w:rsidP="00852AF6">
      <w:pPr>
        <w:numPr>
          <w:ilvl w:val="0"/>
          <w:numId w:val="16"/>
        </w:numPr>
      </w:pPr>
      <w:r w:rsidRPr="00852AF6">
        <w:t xml:space="preserve">Protocol fee payment </w:t>
      </w:r>
    </w:p>
    <w:p w14:paraId="1410D6A5" w14:textId="77777777" w:rsidR="00852AF6" w:rsidRPr="00852AF6" w:rsidRDefault="00852AF6" w:rsidP="00852AF6">
      <w:pPr>
        <w:numPr>
          <w:ilvl w:val="0"/>
          <w:numId w:val="16"/>
        </w:numPr>
      </w:pPr>
      <w:r w:rsidRPr="00852AF6">
        <w:t xml:space="preserve">SPC acquisition and swap routing </w:t>
      </w:r>
    </w:p>
    <w:p w14:paraId="650744F7" w14:textId="77777777" w:rsidR="00852AF6" w:rsidRPr="00852AF6" w:rsidRDefault="00852AF6" w:rsidP="00852AF6">
      <w:pPr>
        <w:numPr>
          <w:ilvl w:val="0"/>
          <w:numId w:val="16"/>
        </w:numPr>
      </w:pPr>
      <w:r w:rsidRPr="00852AF6">
        <w:t xml:space="preserve">Governance participation </w:t>
      </w:r>
    </w:p>
    <w:p w14:paraId="62EDAD71" w14:textId="77777777" w:rsidR="00852AF6" w:rsidRPr="00852AF6" w:rsidRDefault="00852AF6" w:rsidP="00852AF6">
      <w:pPr>
        <w:numPr>
          <w:ilvl w:val="0"/>
          <w:numId w:val="16"/>
        </w:numPr>
      </w:pPr>
      <w:r w:rsidRPr="00852AF6">
        <w:t xml:space="preserve">Staking boost </w:t>
      </w:r>
    </w:p>
    <w:p w14:paraId="5323AF9A" w14:textId="77777777" w:rsidR="00852AF6" w:rsidRPr="00852AF6" w:rsidRDefault="00852AF6" w:rsidP="00852AF6">
      <w:pPr>
        <w:numPr>
          <w:ilvl w:val="0"/>
          <w:numId w:val="16"/>
        </w:numPr>
      </w:pPr>
      <w:r w:rsidRPr="00852AF6">
        <w:t xml:space="preserve">Oracle node staking </w:t>
      </w:r>
    </w:p>
    <w:p w14:paraId="1B1481D6" w14:textId="77777777" w:rsidR="00852AF6" w:rsidRPr="00852AF6" w:rsidRDefault="00852AF6" w:rsidP="00852AF6">
      <w:pPr>
        <w:numPr>
          <w:ilvl w:val="0"/>
          <w:numId w:val="16"/>
        </w:numPr>
      </w:pPr>
      <w:r w:rsidRPr="00852AF6">
        <w:t xml:space="preserve">EV charging rewards </w:t>
      </w:r>
    </w:p>
    <w:p w14:paraId="7CC5AEE1" w14:textId="77777777" w:rsidR="00852AF6" w:rsidRPr="00852AF6" w:rsidRDefault="00852AF6" w:rsidP="00852AF6">
      <w:pPr>
        <w:numPr>
          <w:ilvl w:val="0"/>
          <w:numId w:val="16"/>
        </w:numPr>
      </w:pPr>
      <w:r w:rsidRPr="00852AF6">
        <w:t xml:space="preserve">Partner incentives </w:t>
      </w:r>
    </w:p>
    <w:p w14:paraId="46D2DA29" w14:textId="77777777" w:rsidR="00852AF6" w:rsidRPr="00852AF6" w:rsidRDefault="00852AF6" w:rsidP="00852AF6">
      <w:pPr>
        <w:numPr>
          <w:ilvl w:val="0"/>
          <w:numId w:val="16"/>
        </w:numPr>
      </w:pPr>
      <w:r w:rsidRPr="00852AF6">
        <w:t xml:space="preserve">DEX liquidity incentives </w:t>
      </w:r>
    </w:p>
    <w:p w14:paraId="22082A71" w14:textId="77777777" w:rsidR="00852AF6" w:rsidRPr="00852AF6" w:rsidRDefault="00852AF6" w:rsidP="00852AF6">
      <w:pPr>
        <w:numPr>
          <w:ilvl w:val="0"/>
          <w:numId w:val="16"/>
        </w:numPr>
      </w:pPr>
      <w:r w:rsidRPr="00852AF6">
        <w:t xml:space="preserve">Buyback and burn mechanisms </w:t>
      </w:r>
    </w:p>
    <w:p w14:paraId="2E50F8D5" w14:textId="77777777" w:rsidR="00852AF6" w:rsidRPr="00852AF6" w:rsidRDefault="00852AF6" w:rsidP="00852AF6">
      <w:pPr>
        <w:rPr>
          <w:b/>
          <w:bCs/>
        </w:rPr>
      </w:pPr>
      <w:r w:rsidRPr="00852AF6">
        <w:rPr>
          <w:b/>
          <w:bCs/>
        </w:rPr>
        <w:t>8.3 Value Drivers</w:t>
      </w:r>
    </w:p>
    <w:p w14:paraId="7366DDAA" w14:textId="77777777" w:rsidR="00852AF6" w:rsidRPr="00852AF6" w:rsidRDefault="00852AF6" w:rsidP="00852AF6">
      <w:r w:rsidRPr="00852AF6">
        <w:t>SLC value is driven by ecosystem activity.</w:t>
      </w:r>
    </w:p>
    <w:p w14:paraId="4C52BE3D" w14:textId="77777777" w:rsidR="00852AF6" w:rsidRPr="00852AF6" w:rsidRDefault="00852AF6" w:rsidP="00852AF6">
      <w:r w:rsidRPr="00852AF6">
        <w:t>Potential long-term value drivers include:</w:t>
      </w:r>
    </w:p>
    <w:p w14:paraId="1D591130" w14:textId="77777777" w:rsidR="00852AF6" w:rsidRPr="00852AF6" w:rsidRDefault="00852AF6" w:rsidP="00852AF6">
      <w:pPr>
        <w:numPr>
          <w:ilvl w:val="0"/>
          <w:numId w:val="17"/>
        </w:numPr>
      </w:pPr>
      <w:r w:rsidRPr="00852AF6">
        <w:t xml:space="preserve">Increased demand for SPC </w:t>
      </w:r>
    </w:p>
    <w:p w14:paraId="7CF52EE8" w14:textId="77777777" w:rsidR="00852AF6" w:rsidRPr="00852AF6" w:rsidRDefault="00852AF6" w:rsidP="00852AF6">
      <w:pPr>
        <w:numPr>
          <w:ilvl w:val="0"/>
          <w:numId w:val="17"/>
        </w:numPr>
      </w:pPr>
      <w:r w:rsidRPr="00852AF6">
        <w:t xml:space="preserve">Expansion of solar power assets </w:t>
      </w:r>
    </w:p>
    <w:p w14:paraId="65157DA1" w14:textId="77777777" w:rsidR="00852AF6" w:rsidRPr="00852AF6" w:rsidRDefault="00852AF6" w:rsidP="00852AF6">
      <w:pPr>
        <w:numPr>
          <w:ilvl w:val="0"/>
          <w:numId w:val="17"/>
        </w:numPr>
      </w:pPr>
      <w:r w:rsidRPr="00852AF6">
        <w:t xml:space="preserve">Growth in staking participation </w:t>
      </w:r>
    </w:p>
    <w:p w14:paraId="0481735E" w14:textId="77777777" w:rsidR="00852AF6" w:rsidRPr="00852AF6" w:rsidRDefault="00852AF6" w:rsidP="00852AF6">
      <w:pPr>
        <w:numPr>
          <w:ilvl w:val="0"/>
          <w:numId w:val="17"/>
        </w:numPr>
      </w:pPr>
      <w:r w:rsidRPr="00852AF6">
        <w:t xml:space="preserve">Protocol fee generation </w:t>
      </w:r>
    </w:p>
    <w:p w14:paraId="75338382" w14:textId="77777777" w:rsidR="00852AF6" w:rsidRPr="00852AF6" w:rsidRDefault="00852AF6" w:rsidP="00852AF6">
      <w:pPr>
        <w:numPr>
          <w:ilvl w:val="0"/>
          <w:numId w:val="17"/>
        </w:numPr>
      </w:pPr>
      <w:r w:rsidRPr="00852AF6">
        <w:t xml:space="preserve">Buyback and burn events </w:t>
      </w:r>
    </w:p>
    <w:p w14:paraId="5449126E" w14:textId="77777777" w:rsidR="00852AF6" w:rsidRPr="00852AF6" w:rsidRDefault="00852AF6" w:rsidP="00852AF6">
      <w:pPr>
        <w:numPr>
          <w:ilvl w:val="0"/>
          <w:numId w:val="17"/>
        </w:numPr>
      </w:pPr>
      <w:r w:rsidRPr="00852AF6">
        <w:t xml:space="preserve">EV charging adoption </w:t>
      </w:r>
    </w:p>
    <w:p w14:paraId="1254D7B6" w14:textId="77777777" w:rsidR="00852AF6" w:rsidRPr="00852AF6" w:rsidRDefault="00852AF6" w:rsidP="00852AF6">
      <w:pPr>
        <w:numPr>
          <w:ilvl w:val="0"/>
          <w:numId w:val="17"/>
        </w:numPr>
      </w:pPr>
      <w:r w:rsidRPr="00852AF6">
        <w:t xml:space="preserve">Wallet user growth </w:t>
      </w:r>
    </w:p>
    <w:p w14:paraId="5BE41B1C" w14:textId="77777777" w:rsidR="00852AF6" w:rsidRPr="00852AF6" w:rsidRDefault="00852AF6" w:rsidP="00852AF6">
      <w:pPr>
        <w:numPr>
          <w:ilvl w:val="0"/>
          <w:numId w:val="17"/>
        </w:numPr>
      </w:pPr>
      <w:r w:rsidRPr="00852AF6">
        <w:t xml:space="preserve">CEX and DEX liquidity </w:t>
      </w:r>
    </w:p>
    <w:p w14:paraId="58F0F1A3" w14:textId="77777777" w:rsidR="00852AF6" w:rsidRPr="00852AF6" w:rsidRDefault="00852AF6" w:rsidP="00852AF6">
      <w:pPr>
        <w:numPr>
          <w:ilvl w:val="0"/>
          <w:numId w:val="17"/>
        </w:numPr>
      </w:pPr>
      <w:r w:rsidRPr="00852AF6">
        <w:t xml:space="preserve">Energy data service revenue </w:t>
      </w:r>
    </w:p>
    <w:p w14:paraId="2E72ECB5" w14:textId="77777777" w:rsidR="00852AF6" w:rsidRPr="00852AF6" w:rsidRDefault="00852AF6" w:rsidP="00852AF6">
      <w:pPr>
        <w:numPr>
          <w:ilvl w:val="0"/>
          <w:numId w:val="17"/>
        </w:numPr>
      </w:pPr>
      <w:r w:rsidRPr="00852AF6">
        <w:t xml:space="preserve">Governance demand </w:t>
      </w:r>
    </w:p>
    <w:p w14:paraId="09EFA437" w14:textId="77777777" w:rsidR="00852AF6" w:rsidRPr="00852AF6" w:rsidRDefault="00852AF6" w:rsidP="00852AF6">
      <w:r w:rsidRPr="00852AF6">
        <w:pict w14:anchorId="653307C3">
          <v:rect id="_x0000_i1178" style="width:0;height:1.5pt" o:hralign="center" o:hrstd="t" o:hr="t" fillcolor="#a0a0a0" stroked="f"/>
        </w:pict>
      </w:r>
    </w:p>
    <w:p w14:paraId="497B77E5" w14:textId="77777777" w:rsidR="00852AF6" w:rsidRPr="00852AF6" w:rsidRDefault="00852AF6" w:rsidP="00852AF6">
      <w:pPr>
        <w:rPr>
          <w:b/>
          <w:bCs/>
        </w:rPr>
      </w:pPr>
      <w:r w:rsidRPr="00852AF6">
        <w:rPr>
          <w:b/>
          <w:bCs/>
        </w:rPr>
        <w:t>9. Dual-Token Economic Model</w:t>
      </w:r>
    </w:p>
    <w:p w14:paraId="20B36296" w14:textId="77777777" w:rsidR="00852AF6" w:rsidRPr="00852AF6" w:rsidRDefault="00852AF6" w:rsidP="00852AF6">
      <w:r w:rsidRPr="00852AF6">
        <w:t xml:space="preserve">Project S uses </w:t>
      </w:r>
      <w:proofErr w:type="gramStart"/>
      <w:r w:rsidRPr="00852AF6">
        <w:t>a dual</w:t>
      </w:r>
      <w:proofErr w:type="gramEnd"/>
      <w:r w:rsidRPr="00852AF6">
        <w:t>-token architecture to separate asset reference value from ecosystem utility.</w:t>
      </w:r>
    </w:p>
    <w:p w14:paraId="1CD9D888" w14:textId="77777777" w:rsidR="00852AF6" w:rsidRPr="00852AF6" w:rsidRDefault="00852AF6" w:rsidP="00852AF6">
      <w:pPr>
        <w:rPr>
          <w:b/>
          <w:bCs/>
        </w:rPr>
      </w:pPr>
      <w:r w:rsidRPr="00852AF6">
        <w:rPr>
          <w:b/>
          <w:bCs/>
        </w:rPr>
        <w:t>9.1 Why Two Tokens?</w:t>
      </w:r>
    </w:p>
    <w:p w14:paraId="6C548A2F" w14:textId="77777777" w:rsidR="00852AF6" w:rsidRPr="00852AF6" w:rsidRDefault="00852AF6" w:rsidP="00852AF6">
      <w:r w:rsidRPr="00852AF6">
        <w:t>Single-token models often create structural instability. One token is expected to function simultaneously as a speculative asset, utility token, governance token, reward asset, and settlement unit.</w:t>
      </w:r>
    </w:p>
    <w:p w14:paraId="0246106F" w14:textId="77777777" w:rsidR="00852AF6" w:rsidRPr="00852AF6" w:rsidRDefault="00852AF6" w:rsidP="00852AF6">
      <w:r w:rsidRPr="00852AF6">
        <w:t>Project S separates these roles.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24"/>
        <w:gridCol w:w="2143"/>
        <w:gridCol w:w="1501"/>
      </w:tblGrid>
      <w:tr w:rsidR="00852AF6" w:rsidRPr="00852AF6" w14:paraId="3E5E0A4D" w14:textId="77777777">
        <w:trPr>
          <w:tblHeader/>
          <w:tblCellSpacing w:w="15" w:type="dxa"/>
        </w:trPr>
        <w:tc>
          <w:tcPr>
            <w:tcW w:w="0" w:type="auto"/>
            <w:vAlign w:val="center"/>
            <w:hideMark/>
          </w:tcPr>
          <w:p w14:paraId="54F12067" w14:textId="77777777" w:rsidR="00852AF6" w:rsidRPr="00852AF6" w:rsidRDefault="00852AF6" w:rsidP="00852AF6">
            <w:pPr>
              <w:rPr>
                <w:b/>
                <w:bCs/>
              </w:rPr>
            </w:pPr>
            <w:r w:rsidRPr="00852AF6">
              <w:rPr>
                <w:b/>
                <w:bCs/>
              </w:rPr>
              <w:t>Function</w:t>
            </w:r>
          </w:p>
        </w:tc>
        <w:tc>
          <w:tcPr>
            <w:tcW w:w="0" w:type="auto"/>
            <w:vAlign w:val="center"/>
            <w:hideMark/>
          </w:tcPr>
          <w:p w14:paraId="41750475" w14:textId="77777777" w:rsidR="00852AF6" w:rsidRPr="00852AF6" w:rsidRDefault="00852AF6" w:rsidP="00852AF6">
            <w:pPr>
              <w:rPr>
                <w:b/>
                <w:bCs/>
              </w:rPr>
            </w:pPr>
            <w:r w:rsidRPr="00852AF6">
              <w:rPr>
                <w:b/>
                <w:bCs/>
              </w:rPr>
              <w:t>SPC</w:t>
            </w:r>
          </w:p>
        </w:tc>
        <w:tc>
          <w:tcPr>
            <w:tcW w:w="0" w:type="auto"/>
            <w:vAlign w:val="center"/>
            <w:hideMark/>
          </w:tcPr>
          <w:p w14:paraId="4138E2B5" w14:textId="77777777" w:rsidR="00852AF6" w:rsidRPr="00852AF6" w:rsidRDefault="00852AF6" w:rsidP="00852AF6">
            <w:pPr>
              <w:rPr>
                <w:b/>
                <w:bCs/>
              </w:rPr>
            </w:pPr>
            <w:r w:rsidRPr="00852AF6">
              <w:rPr>
                <w:b/>
                <w:bCs/>
              </w:rPr>
              <w:t>SLC</w:t>
            </w:r>
          </w:p>
        </w:tc>
      </w:tr>
      <w:tr w:rsidR="00852AF6" w:rsidRPr="00852AF6" w14:paraId="2E1C240A" w14:textId="77777777">
        <w:trPr>
          <w:tblCellSpacing w:w="15" w:type="dxa"/>
        </w:trPr>
        <w:tc>
          <w:tcPr>
            <w:tcW w:w="0" w:type="auto"/>
            <w:vAlign w:val="center"/>
            <w:hideMark/>
          </w:tcPr>
          <w:p w14:paraId="38BE0FEE" w14:textId="77777777" w:rsidR="00852AF6" w:rsidRPr="00852AF6" w:rsidRDefault="00852AF6" w:rsidP="00852AF6">
            <w:r w:rsidRPr="00852AF6">
              <w:t>Energy RWA reference</w:t>
            </w:r>
          </w:p>
        </w:tc>
        <w:tc>
          <w:tcPr>
            <w:tcW w:w="0" w:type="auto"/>
            <w:vAlign w:val="center"/>
            <w:hideMark/>
          </w:tcPr>
          <w:p w14:paraId="6E75DCC6" w14:textId="77777777" w:rsidR="00852AF6" w:rsidRPr="00852AF6" w:rsidRDefault="00852AF6" w:rsidP="00852AF6">
            <w:r w:rsidRPr="00852AF6">
              <w:t>Yes</w:t>
            </w:r>
          </w:p>
        </w:tc>
        <w:tc>
          <w:tcPr>
            <w:tcW w:w="0" w:type="auto"/>
            <w:vAlign w:val="center"/>
            <w:hideMark/>
          </w:tcPr>
          <w:p w14:paraId="3AA3846D" w14:textId="77777777" w:rsidR="00852AF6" w:rsidRPr="00852AF6" w:rsidRDefault="00852AF6" w:rsidP="00852AF6">
            <w:r w:rsidRPr="00852AF6">
              <w:t>No</w:t>
            </w:r>
          </w:p>
        </w:tc>
      </w:tr>
      <w:tr w:rsidR="00852AF6" w:rsidRPr="00852AF6" w14:paraId="72960816" w14:textId="77777777">
        <w:trPr>
          <w:tblCellSpacing w:w="15" w:type="dxa"/>
        </w:trPr>
        <w:tc>
          <w:tcPr>
            <w:tcW w:w="0" w:type="auto"/>
            <w:vAlign w:val="center"/>
            <w:hideMark/>
          </w:tcPr>
          <w:p w14:paraId="089F5054" w14:textId="77777777" w:rsidR="00852AF6" w:rsidRPr="00852AF6" w:rsidRDefault="00852AF6" w:rsidP="00852AF6">
            <w:r w:rsidRPr="00852AF6">
              <w:t>Utility and fees</w:t>
            </w:r>
          </w:p>
        </w:tc>
        <w:tc>
          <w:tcPr>
            <w:tcW w:w="0" w:type="auto"/>
            <w:vAlign w:val="center"/>
            <w:hideMark/>
          </w:tcPr>
          <w:p w14:paraId="62D95EEF" w14:textId="77777777" w:rsidR="00852AF6" w:rsidRPr="00852AF6" w:rsidRDefault="00852AF6" w:rsidP="00852AF6">
            <w:r w:rsidRPr="00852AF6">
              <w:t>Limited</w:t>
            </w:r>
          </w:p>
        </w:tc>
        <w:tc>
          <w:tcPr>
            <w:tcW w:w="0" w:type="auto"/>
            <w:vAlign w:val="center"/>
            <w:hideMark/>
          </w:tcPr>
          <w:p w14:paraId="481BEE69" w14:textId="77777777" w:rsidR="00852AF6" w:rsidRPr="00852AF6" w:rsidRDefault="00852AF6" w:rsidP="00852AF6">
            <w:r w:rsidRPr="00852AF6">
              <w:t>Yes</w:t>
            </w:r>
          </w:p>
        </w:tc>
      </w:tr>
      <w:tr w:rsidR="00852AF6" w:rsidRPr="00852AF6" w14:paraId="2D079B87" w14:textId="77777777">
        <w:trPr>
          <w:tblCellSpacing w:w="15" w:type="dxa"/>
        </w:trPr>
        <w:tc>
          <w:tcPr>
            <w:tcW w:w="0" w:type="auto"/>
            <w:vAlign w:val="center"/>
            <w:hideMark/>
          </w:tcPr>
          <w:p w14:paraId="00C11AF3" w14:textId="77777777" w:rsidR="00852AF6" w:rsidRPr="00852AF6" w:rsidRDefault="00852AF6" w:rsidP="00852AF6">
            <w:r w:rsidRPr="00852AF6">
              <w:t>Staking</w:t>
            </w:r>
          </w:p>
        </w:tc>
        <w:tc>
          <w:tcPr>
            <w:tcW w:w="0" w:type="auto"/>
            <w:vAlign w:val="center"/>
            <w:hideMark/>
          </w:tcPr>
          <w:p w14:paraId="0B337F92" w14:textId="77777777" w:rsidR="00852AF6" w:rsidRPr="00852AF6" w:rsidRDefault="00852AF6" w:rsidP="00852AF6">
            <w:r w:rsidRPr="00852AF6">
              <w:t>Yes</w:t>
            </w:r>
          </w:p>
        </w:tc>
        <w:tc>
          <w:tcPr>
            <w:tcW w:w="0" w:type="auto"/>
            <w:vAlign w:val="center"/>
            <w:hideMark/>
          </w:tcPr>
          <w:p w14:paraId="51B1CCB8" w14:textId="77777777" w:rsidR="00852AF6" w:rsidRPr="00852AF6" w:rsidRDefault="00852AF6" w:rsidP="00852AF6">
            <w:r w:rsidRPr="00852AF6">
              <w:t>Yes</w:t>
            </w:r>
          </w:p>
        </w:tc>
      </w:tr>
      <w:tr w:rsidR="00852AF6" w:rsidRPr="00852AF6" w14:paraId="05830C20" w14:textId="77777777">
        <w:trPr>
          <w:tblCellSpacing w:w="15" w:type="dxa"/>
        </w:trPr>
        <w:tc>
          <w:tcPr>
            <w:tcW w:w="0" w:type="auto"/>
            <w:vAlign w:val="center"/>
            <w:hideMark/>
          </w:tcPr>
          <w:p w14:paraId="17E662C3" w14:textId="77777777" w:rsidR="00852AF6" w:rsidRPr="00852AF6" w:rsidRDefault="00852AF6" w:rsidP="00852AF6">
            <w:r w:rsidRPr="00852AF6">
              <w:t>Governance</w:t>
            </w:r>
          </w:p>
        </w:tc>
        <w:tc>
          <w:tcPr>
            <w:tcW w:w="0" w:type="auto"/>
            <w:vAlign w:val="center"/>
            <w:hideMark/>
          </w:tcPr>
          <w:p w14:paraId="7C6788B6" w14:textId="77777777" w:rsidR="00852AF6" w:rsidRPr="00852AF6" w:rsidRDefault="00852AF6" w:rsidP="00852AF6">
            <w:r w:rsidRPr="00852AF6">
              <w:t>Limited / conditional</w:t>
            </w:r>
          </w:p>
        </w:tc>
        <w:tc>
          <w:tcPr>
            <w:tcW w:w="0" w:type="auto"/>
            <w:vAlign w:val="center"/>
            <w:hideMark/>
          </w:tcPr>
          <w:p w14:paraId="2AF49EF6" w14:textId="77777777" w:rsidR="00852AF6" w:rsidRPr="00852AF6" w:rsidRDefault="00852AF6" w:rsidP="00852AF6">
            <w:r w:rsidRPr="00852AF6">
              <w:t>Primary</w:t>
            </w:r>
          </w:p>
        </w:tc>
      </w:tr>
      <w:tr w:rsidR="00852AF6" w:rsidRPr="00852AF6" w14:paraId="32FFA9D6" w14:textId="77777777">
        <w:trPr>
          <w:tblCellSpacing w:w="15" w:type="dxa"/>
        </w:trPr>
        <w:tc>
          <w:tcPr>
            <w:tcW w:w="0" w:type="auto"/>
            <w:vAlign w:val="center"/>
            <w:hideMark/>
          </w:tcPr>
          <w:p w14:paraId="0F74E96A" w14:textId="77777777" w:rsidR="00852AF6" w:rsidRPr="00852AF6" w:rsidRDefault="00852AF6" w:rsidP="00852AF6">
            <w:r w:rsidRPr="00852AF6">
              <w:t>Buyback target</w:t>
            </w:r>
          </w:p>
        </w:tc>
        <w:tc>
          <w:tcPr>
            <w:tcW w:w="0" w:type="auto"/>
            <w:vAlign w:val="center"/>
            <w:hideMark/>
          </w:tcPr>
          <w:p w14:paraId="132B4D6B" w14:textId="77777777" w:rsidR="00852AF6" w:rsidRPr="00852AF6" w:rsidRDefault="00852AF6" w:rsidP="00852AF6">
            <w:r w:rsidRPr="00852AF6">
              <w:t>No</w:t>
            </w:r>
          </w:p>
        </w:tc>
        <w:tc>
          <w:tcPr>
            <w:tcW w:w="0" w:type="auto"/>
            <w:vAlign w:val="center"/>
            <w:hideMark/>
          </w:tcPr>
          <w:p w14:paraId="7F45C767" w14:textId="77777777" w:rsidR="00852AF6" w:rsidRPr="00852AF6" w:rsidRDefault="00852AF6" w:rsidP="00852AF6">
            <w:r w:rsidRPr="00852AF6">
              <w:t>Yes</w:t>
            </w:r>
          </w:p>
        </w:tc>
      </w:tr>
      <w:tr w:rsidR="00852AF6" w:rsidRPr="00852AF6" w14:paraId="6921810D" w14:textId="77777777">
        <w:trPr>
          <w:tblCellSpacing w:w="15" w:type="dxa"/>
        </w:trPr>
        <w:tc>
          <w:tcPr>
            <w:tcW w:w="0" w:type="auto"/>
            <w:vAlign w:val="center"/>
            <w:hideMark/>
          </w:tcPr>
          <w:p w14:paraId="1523547B" w14:textId="77777777" w:rsidR="00852AF6" w:rsidRPr="00852AF6" w:rsidRDefault="00852AF6" w:rsidP="00852AF6">
            <w:r w:rsidRPr="00852AF6">
              <w:t>EV payment</w:t>
            </w:r>
          </w:p>
        </w:tc>
        <w:tc>
          <w:tcPr>
            <w:tcW w:w="0" w:type="auto"/>
            <w:vAlign w:val="center"/>
            <w:hideMark/>
          </w:tcPr>
          <w:p w14:paraId="076CAF14" w14:textId="77777777" w:rsidR="00852AF6" w:rsidRPr="00852AF6" w:rsidRDefault="00852AF6" w:rsidP="00852AF6">
            <w:r w:rsidRPr="00852AF6">
              <w:t>Yes</w:t>
            </w:r>
          </w:p>
        </w:tc>
        <w:tc>
          <w:tcPr>
            <w:tcW w:w="0" w:type="auto"/>
            <w:vAlign w:val="center"/>
            <w:hideMark/>
          </w:tcPr>
          <w:p w14:paraId="6F85552D" w14:textId="77777777" w:rsidR="00852AF6" w:rsidRPr="00852AF6" w:rsidRDefault="00852AF6" w:rsidP="00852AF6">
            <w:r w:rsidRPr="00852AF6">
              <w:t>Reward-linked</w:t>
            </w:r>
          </w:p>
        </w:tc>
      </w:tr>
      <w:tr w:rsidR="00852AF6" w:rsidRPr="00852AF6" w14:paraId="6262E4A1" w14:textId="77777777">
        <w:trPr>
          <w:tblCellSpacing w:w="15" w:type="dxa"/>
        </w:trPr>
        <w:tc>
          <w:tcPr>
            <w:tcW w:w="0" w:type="auto"/>
            <w:vAlign w:val="center"/>
            <w:hideMark/>
          </w:tcPr>
          <w:p w14:paraId="4560CA88" w14:textId="77777777" w:rsidR="00852AF6" w:rsidRPr="00852AF6" w:rsidRDefault="00852AF6" w:rsidP="00852AF6">
            <w:r w:rsidRPr="00852AF6">
              <w:t>Liquidity expansion</w:t>
            </w:r>
          </w:p>
        </w:tc>
        <w:tc>
          <w:tcPr>
            <w:tcW w:w="0" w:type="auto"/>
            <w:vAlign w:val="center"/>
            <w:hideMark/>
          </w:tcPr>
          <w:p w14:paraId="2D469215" w14:textId="77777777" w:rsidR="00852AF6" w:rsidRPr="00852AF6" w:rsidRDefault="00852AF6" w:rsidP="00852AF6">
            <w:r w:rsidRPr="00852AF6">
              <w:t>Secondary</w:t>
            </w:r>
          </w:p>
        </w:tc>
        <w:tc>
          <w:tcPr>
            <w:tcW w:w="0" w:type="auto"/>
            <w:vAlign w:val="center"/>
            <w:hideMark/>
          </w:tcPr>
          <w:p w14:paraId="075EFED5" w14:textId="77777777" w:rsidR="00852AF6" w:rsidRPr="00852AF6" w:rsidRDefault="00852AF6" w:rsidP="00852AF6">
            <w:r w:rsidRPr="00852AF6">
              <w:t>Primary</w:t>
            </w:r>
          </w:p>
        </w:tc>
      </w:tr>
      <w:tr w:rsidR="00852AF6" w:rsidRPr="00852AF6" w14:paraId="3A22BC62" w14:textId="77777777">
        <w:trPr>
          <w:tblCellSpacing w:w="15" w:type="dxa"/>
        </w:trPr>
        <w:tc>
          <w:tcPr>
            <w:tcW w:w="0" w:type="auto"/>
            <w:vAlign w:val="center"/>
            <w:hideMark/>
          </w:tcPr>
          <w:p w14:paraId="06E9D79F" w14:textId="77777777" w:rsidR="00852AF6" w:rsidRPr="00852AF6" w:rsidRDefault="00852AF6" w:rsidP="00852AF6">
            <w:r w:rsidRPr="00852AF6">
              <w:t>Ecosystem incentives</w:t>
            </w:r>
          </w:p>
        </w:tc>
        <w:tc>
          <w:tcPr>
            <w:tcW w:w="0" w:type="auto"/>
            <w:vAlign w:val="center"/>
            <w:hideMark/>
          </w:tcPr>
          <w:p w14:paraId="5401AE26" w14:textId="77777777" w:rsidR="00852AF6" w:rsidRPr="00852AF6" w:rsidRDefault="00852AF6" w:rsidP="00852AF6">
            <w:r w:rsidRPr="00852AF6">
              <w:t>Limited</w:t>
            </w:r>
          </w:p>
        </w:tc>
        <w:tc>
          <w:tcPr>
            <w:tcW w:w="0" w:type="auto"/>
            <w:vAlign w:val="center"/>
            <w:hideMark/>
          </w:tcPr>
          <w:p w14:paraId="5F82DB45" w14:textId="77777777" w:rsidR="00852AF6" w:rsidRPr="00852AF6" w:rsidRDefault="00852AF6" w:rsidP="00852AF6">
            <w:r w:rsidRPr="00852AF6">
              <w:t>Yes</w:t>
            </w:r>
          </w:p>
        </w:tc>
      </w:tr>
    </w:tbl>
    <w:p w14:paraId="61A1DF08" w14:textId="77777777" w:rsidR="00852AF6" w:rsidRPr="00852AF6" w:rsidRDefault="00852AF6" w:rsidP="00852AF6">
      <w:pPr>
        <w:rPr>
          <w:b/>
          <w:bCs/>
        </w:rPr>
      </w:pPr>
      <w:r w:rsidRPr="00852AF6">
        <w:rPr>
          <w:b/>
          <w:bCs/>
        </w:rPr>
        <w:t>9.2 Economic Flywheel</w:t>
      </w:r>
    </w:p>
    <w:p w14:paraId="19F6112C" w14:textId="77777777" w:rsidR="00852AF6" w:rsidRPr="00852AF6" w:rsidRDefault="00852AF6" w:rsidP="00852AF6">
      <w:r w:rsidRPr="00852AF6">
        <w:t>The Project S flywheel operates as follows:</w:t>
      </w:r>
    </w:p>
    <w:p w14:paraId="0FFD819B" w14:textId="77777777" w:rsidR="00852AF6" w:rsidRPr="00852AF6" w:rsidRDefault="00852AF6" w:rsidP="00852AF6">
      <w:pPr>
        <w:numPr>
          <w:ilvl w:val="0"/>
          <w:numId w:val="18"/>
        </w:numPr>
      </w:pPr>
      <w:r w:rsidRPr="00852AF6">
        <w:t xml:space="preserve">Users acquire SLC through approved on-ramps or market channels. </w:t>
      </w:r>
    </w:p>
    <w:p w14:paraId="0B61C8C4" w14:textId="77777777" w:rsidR="00852AF6" w:rsidRPr="00852AF6" w:rsidRDefault="00852AF6" w:rsidP="00852AF6">
      <w:pPr>
        <w:numPr>
          <w:ilvl w:val="0"/>
          <w:numId w:val="18"/>
        </w:numPr>
      </w:pPr>
      <w:r w:rsidRPr="00852AF6">
        <w:t xml:space="preserve">SLC is used to access SPC through </w:t>
      </w:r>
      <w:proofErr w:type="spellStart"/>
      <w:r w:rsidRPr="00852AF6">
        <w:t>Supervizion</w:t>
      </w:r>
      <w:proofErr w:type="spellEnd"/>
      <w:r w:rsidRPr="00852AF6">
        <w:t xml:space="preserve"> Wallet or OTC smart contracts. </w:t>
      </w:r>
    </w:p>
    <w:p w14:paraId="415FB62F" w14:textId="77777777" w:rsidR="00852AF6" w:rsidRPr="00852AF6" w:rsidRDefault="00852AF6" w:rsidP="00852AF6">
      <w:pPr>
        <w:numPr>
          <w:ilvl w:val="0"/>
          <w:numId w:val="18"/>
        </w:numPr>
      </w:pPr>
      <w:r w:rsidRPr="00852AF6">
        <w:t xml:space="preserve">SPC participates in energy-backed staking and utility functions. </w:t>
      </w:r>
    </w:p>
    <w:p w14:paraId="0FDCFEA5" w14:textId="77777777" w:rsidR="00852AF6" w:rsidRPr="00852AF6" w:rsidRDefault="00852AF6" w:rsidP="00852AF6">
      <w:pPr>
        <w:numPr>
          <w:ilvl w:val="0"/>
          <w:numId w:val="18"/>
        </w:numPr>
      </w:pPr>
      <w:r w:rsidRPr="00852AF6">
        <w:t xml:space="preserve">Solar assets generate power revenue through SMP, REC, PPA, and EV charging. </w:t>
      </w:r>
    </w:p>
    <w:p w14:paraId="2C21C40E" w14:textId="77777777" w:rsidR="00852AF6" w:rsidRPr="00852AF6" w:rsidRDefault="00852AF6" w:rsidP="00852AF6">
      <w:pPr>
        <w:numPr>
          <w:ilvl w:val="0"/>
          <w:numId w:val="18"/>
        </w:numPr>
      </w:pPr>
      <w:r w:rsidRPr="00852AF6">
        <w:t xml:space="preserve">Net distributable cash flow supports rewards, reserves, buybacks, and ecosystem growth. </w:t>
      </w:r>
    </w:p>
    <w:p w14:paraId="266B04D6" w14:textId="77777777" w:rsidR="00852AF6" w:rsidRPr="00852AF6" w:rsidRDefault="00852AF6" w:rsidP="00852AF6">
      <w:pPr>
        <w:numPr>
          <w:ilvl w:val="0"/>
          <w:numId w:val="18"/>
        </w:numPr>
      </w:pPr>
      <w:r w:rsidRPr="00852AF6">
        <w:t xml:space="preserve">SLC is repurchased and partially burned, reducing circulating supply pressure. </w:t>
      </w:r>
    </w:p>
    <w:p w14:paraId="72A53E9C" w14:textId="77777777" w:rsidR="00852AF6" w:rsidRPr="00852AF6" w:rsidRDefault="00852AF6" w:rsidP="00852AF6">
      <w:pPr>
        <w:numPr>
          <w:ilvl w:val="0"/>
          <w:numId w:val="18"/>
        </w:numPr>
      </w:pPr>
      <w:r w:rsidRPr="00852AF6">
        <w:t xml:space="preserve">Stronger SLC utility increases demand for SPC access. </w:t>
      </w:r>
    </w:p>
    <w:p w14:paraId="485FE1B4" w14:textId="77777777" w:rsidR="00852AF6" w:rsidRPr="00852AF6" w:rsidRDefault="00852AF6" w:rsidP="00852AF6">
      <w:pPr>
        <w:numPr>
          <w:ilvl w:val="0"/>
          <w:numId w:val="18"/>
        </w:numPr>
      </w:pPr>
      <w:r w:rsidRPr="00852AF6">
        <w:t xml:space="preserve">Additional capital supports expansion of energy assets. </w:t>
      </w:r>
    </w:p>
    <w:p w14:paraId="21629A1F" w14:textId="77777777" w:rsidR="00852AF6" w:rsidRPr="00852AF6" w:rsidRDefault="00852AF6" w:rsidP="00852AF6">
      <w:r w:rsidRPr="00852AF6">
        <w:t>This creates the core loop:</w:t>
      </w:r>
    </w:p>
    <w:p w14:paraId="5EBF6808" w14:textId="77777777" w:rsidR="00852AF6" w:rsidRPr="00852AF6" w:rsidRDefault="00852AF6" w:rsidP="00852AF6">
      <w:r w:rsidRPr="00852AF6">
        <w:rPr>
          <w:b/>
          <w:bCs/>
        </w:rPr>
        <w:t>Energy Asset → Cash Flow → Token Utility → Buyback → Scarcity → Liquidity → More Energy Assets</w:t>
      </w:r>
    </w:p>
    <w:p w14:paraId="7006F3C3" w14:textId="77777777" w:rsidR="00852AF6" w:rsidRPr="00852AF6" w:rsidRDefault="00852AF6" w:rsidP="00852AF6">
      <w:r w:rsidRPr="00852AF6">
        <w:pict w14:anchorId="71BDC3D1">
          <v:rect id="_x0000_i1179" style="width:0;height:1.5pt" o:hralign="center" o:hrstd="t" o:hr="t" fillcolor="#a0a0a0" stroked="f"/>
        </w:pict>
      </w:r>
    </w:p>
    <w:p w14:paraId="55C27F84" w14:textId="77777777" w:rsidR="00852AF6" w:rsidRPr="00852AF6" w:rsidRDefault="00852AF6" w:rsidP="00852AF6">
      <w:pPr>
        <w:rPr>
          <w:b/>
          <w:bCs/>
        </w:rPr>
      </w:pPr>
      <w:r w:rsidRPr="00852AF6">
        <w:rPr>
          <w:b/>
          <w:bCs/>
        </w:rPr>
        <w:t xml:space="preserve">10. Energy Reference Peg and </w:t>
      </w:r>
      <w:proofErr w:type="spellStart"/>
      <w:r w:rsidRPr="00852AF6">
        <w:rPr>
          <w:b/>
          <w:bCs/>
        </w:rPr>
        <w:t>eNAV</w:t>
      </w:r>
      <w:proofErr w:type="spellEnd"/>
      <w:r w:rsidRPr="00852AF6">
        <w:rPr>
          <w:b/>
          <w:bCs/>
        </w:rPr>
        <w:t xml:space="preserve"> Model</w:t>
      </w:r>
    </w:p>
    <w:p w14:paraId="21A2D893" w14:textId="77777777" w:rsidR="00852AF6" w:rsidRPr="00852AF6" w:rsidRDefault="00852AF6" w:rsidP="00852AF6">
      <w:pPr>
        <w:rPr>
          <w:b/>
          <w:bCs/>
        </w:rPr>
      </w:pPr>
      <w:r w:rsidRPr="00852AF6">
        <w:rPr>
          <w:b/>
          <w:bCs/>
        </w:rPr>
        <w:t>10.1 From Hard Peg to Energy Reference Peg</w:t>
      </w:r>
    </w:p>
    <w:p w14:paraId="7F5B4F46" w14:textId="77777777" w:rsidR="00852AF6" w:rsidRPr="00852AF6" w:rsidRDefault="00852AF6" w:rsidP="00852AF6">
      <w:r w:rsidRPr="00852AF6">
        <w:t>Project S does not need to claim an unconditional hard peg. A hard peg can imply guaranteed redemption or fixed-price support, which may create legal and financial risk.</w:t>
      </w:r>
    </w:p>
    <w:p w14:paraId="6CFD2265" w14:textId="77777777" w:rsidR="00852AF6" w:rsidRPr="00852AF6" w:rsidRDefault="00852AF6" w:rsidP="00852AF6">
      <w:r w:rsidRPr="00852AF6">
        <w:t xml:space="preserve">Instead, Project S uses an </w:t>
      </w:r>
      <w:r w:rsidRPr="00852AF6">
        <w:rPr>
          <w:b/>
          <w:bCs/>
        </w:rPr>
        <w:t>Energy Reference Peg ERP</w:t>
      </w:r>
      <w:r w:rsidRPr="00852AF6">
        <w:t>.</w:t>
      </w:r>
    </w:p>
    <w:p w14:paraId="461D612C" w14:textId="77777777" w:rsidR="00852AF6" w:rsidRPr="00852AF6" w:rsidRDefault="00852AF6" w:rsidP="00852AF6">
      <w:r w:rsidRPr="00852AF6">
        <w:t>ERP is a dynamic reference framework based on real energy-market data, not a fixed price guarantee.</w:t>
      </w:r>
    </w:p>
    <w:p w14:paraId="70259EC9" w14:textId="77777777" w:rsidR="00852AF6" w:rsidRPr="00852AF6" w:rsidRDefault="00852AF6" w:rsidP="00852AF6">
      <w:pPr>
        <w:rPr>
          <w:b/>
          <w:bCs/>
        </w:rPr>
      </w:pPr>
      <w:r w:rsidRPr="00852AF6">
        <w:rPr>
          <w:b/>
          <w:bCs/>
        </w:rPr>
        <w:t>10.2 Energy Reference Index</w:t>
      </w:r>
    </w:p>
    <w:p w14:paraId="6E4981FF" w14:textId="1D66F746" w:rsidR="00852AF6" w:rsidRPr="00852AF6" w:rsidRDefault="00852AF6" w:rsidP="00852AF6">
      <m:oMathPara>
        <m:oMath>
          <m:r>
            <w:rPr>
              <w:rFonts w:ascii="Cambria Math" w:hAnsi="Cambria Math"/>
            </w:rPr>
            <m:t>ER</m:t>
          </m:r>
          <m:sSub>
            <m:sSubPr>
              <m:ctrlPr>
                <w:rPr>
                  <w:rFonts w:ascii="Cambria Math" w:hAnsi="Cambria Math"/>
                </w:rPr>
              </m:ctrlPr>
            </m:sSubPr>
            <m:e>
              <m:r>
                <w:rPr>
                  <w:rFonts w:ascii="Cambria Math" w:hAnsi="Cambria Math"/>
                </w:rPr>
                <m:t>I</m:t>
              </m:r>
            </m:e>
            <m:sub>
              <m:r>
                <w:rPr>
                  <w:rFonts w:ascii="Cambria Math" w:hAnsi="Cambria Math"/>
                </w:rPr>
                <m:t>t</m:t>
              </m:r>
            </m:sub>
          </m:sSub>
          <m:r>
            <w:rPr>
              <w:rFonts w:ascii="Cambria Math" w:hAnsi="Cambria Math"/>
            </w:rPr>
            <m:t>=SM</m:t>
          </m:r>
          <m:sSub>
            <m:sSubPr>
              <m:ctrlPr>
                <w:rPr>
                  <w:rFonts w:ascii="Cambria Math" w:hAnsi="Cambria Math"/>
                </w:rPr>
              </m:ctrlPr>
            </m:sSubPr>
            <m:e>
              <m:r>
                <w:rPr>
                  <w:rFonts w:ascii="Cambria Math" w:hAnsi="Cambria Math"/>
                </w:rPr>
                <m:t>P</m:t>
              </m:r>
            </m:e>
            <m:sub>
              <m:r>
                <w:rPr>
                  <w:rFonts w:ascii="Cambria Math" w:hAnsi="Cambria Math"/>
                </w:rPr>
                <m:t>t</m:t>
              </m:r>
            </m:sub>
          </m:sSub>
          <m:r>
            <w:rPr>
              <w:rFonts w:ascii="Cambria Math" w:hAnsi="Cambria Math"/>
            </w:rPr>
            <m:t>+RECkW</m:t>
          </m:r>
          <m:sSub>
            <m:sSubPr>
              <m:ctrlPr>
                <w:rPr>
                  <w:rFonts w:ascii="Cambria Math" w:hAnsi="Cambria Math"/>
                </w:rPr>
              </m:ctrlPr>
            </m:sSubPr>
            <m:e>
              <m:r>
                <w:rPr>
                  <w:rFonts w:ascii="Cambria Math" w:hAnsi="Cambria Math"/>
                </w:rPr>
                <m:t>h</m:t>
              </m:r>
            </m:e>
            <m:sub>
              <m:r>
                <w:rPr>
                  <w:rFonts w:ascii="Cambria Math" w:hAnsi="Cambria Math"/>
                </w:rPr>
                <m:t>t</m:t>
              </m:r>
            </m:sub>
          </m:sSub>
          <m:r>
            <w:rPr>
              <w:rFonts w:ascii="Cambria Math" w:hAnsi="Cambria Math"/>
            </w:rPr>
            <m:t>+PPA</m:t>
          </m:r>
          <m:r>
            <m:rPr>
              <m:sty m:val="p"/>
            </m:rPr>
            <w:rPr>
              <w:rFonts w:ascii="Cambria Math" w:hAnsi="Cambria Math"/>
            </w:rPr>
            <m:t> </m:t>
          </m:r>
          <m:r>
            <w:rPr>
              <w:rFonts w:ascii="Cambria Math" w:hAnsi="Cambria Math"/>
            </w:rPr>
            <m:t>Premiu</m:t>
          </m:r>
          <m:sSub>
            <m:sSubPr>
              <m:ctrlPr>
                <w:rPr>
                  <w:rFonts w:ascii="Cambria Math" w:hAnsi="Cambria Math"/>
                </w:rPr>
              </m:ctrlPr>
            </m:sSubPr>
            <m:e>
              <m:r>
                <w:rPr>
                  <w:rFonts w:ascii="Cambria Math" w:hAnsi="Cambria Math"/>
                </w:rPr>
                <m:t>m</m:t>
              </m:r>
            </m:e>
            <m:sub>
              <m:r>
                <w:rPr>
                  <w:rFonts w:ascii="Cambria Math" w:hAnsi="Cambria Math"/>
                </w:rPr>
                <m:t>t</m:t>
              </m:r>
            </m:sub>
          </m:sSub>
          <m:r>
            <w:rPr>
              <w:rFonts w:ascii="Cambria Math" w:hAnsi="Cambria Math"/>
            </w:rPr>
            <m:t>+EV</m:t>
          </m:r>
          <m:r>
            <m:rPr>
              <m:sty m:val="p"/>
            </m:rPr>
            <w:rPr>
              <w:rFonts w:ascii="Cambria Math" w:hAnsi="Cambria Math"/>
            </w:rPr>
            <m:t> </m:t>
          </m:r>
          <m:r>
            <w:rPr>
              <w:rFonts w:ascii="Cambria Math" w:hAnsi="Cambria Math"/>
            </w:rPr>
            <m:t>Utility</m:t>
          </m:r>
          <m:r>
            <m:rPr>
              <m:sty m:val="p"/>
            </m:rPr>
            <w:rPr>
              <w:rFonts w:ascii="Cambria Math" w:hAnsi="Cambria Math"/>
            </w:rPr>
            <m:t> </m:t>
          </m:r>
          <m:r>
            <w:rPr>
              <w:rFonts w:ascii="Cambria Math" w:hAnsi="Cambria Math"/>
            </w:rPr>
            <m:t>Premiu</m:t>
          </m:r>
          <m:sSub>
            <m:sSubPr>
              <m:ctrlPr>
                <w:rPr>
                  <w:rFonts w:ascii="Cambria Math" w:hAnsi="Cambria Math"/>
                </w:rPr>
              </m:ctrlPr>
            </m:sSubPr>
            <m:e>
              <m:r>
                <w:rPr>
                  <w:rFonts w:ascii="Cambria Math" w:hAnsi="Cambria Math"/>
                </w:rPr>
                <m:t>m</m:t>
              </m:r>
            </m:e>
            <m:sub>
              <m:r>
                <w:rPr>
                  <w:rFonts w:ascii="Cambria Math" w:hAnsi="Cambria Math"/>
                </w:rPr>
                <m:t>t</m:t>
              </m:r>
            </m:sub>
          </m:sSub>
          <m:r>
            <w:rPr>
              <w:rFonts w:ascii="Cambria Math" w:hAnsi="Cambria Math"/>
            </w:rPr>
            <m:t>-Operational</m:t>
          </m:r>
          <m:r>
            <m:rPr>
              <m:sty m:val="p"/>
            </m:rPr>
            <w:rPr>
              <w:rFonts w:ascii="Cambria Math" w:hAnsi="Cambria Math"/>
            </w:rPr>
            <m:t> </m:t>
          </m:r>
          <m:r>
            <w:rPr>
              <w:rFonts w:ascii="Cambria Math" w:hAnsi="Cambria Math"/>
            </w:rPr>
            <m:t>Risk</m:t>
          </m:r>
          <m:r>
            <m:rPr>
              <m:sty m:val="p"/>
            </m:rPr>
            <w:rPr>
              <w:rFonts w:ascii="Cambria Math" w:hAnsi="Cambria Math"/>
            </w:rPr>
            <m:t> </m:t>
          </m:r>
          <m:r>
            <w:rPr>
              <w:rFonts w:ascii="Cambria Math" w:hAnsi="Cambria Math"/>
            </w:rPr>
            <m:t>Discoun</m:t>
          </m:r>
          <m:sSub>
            <m:sSubPr>
              <m:ctrlPr>
                <w:rPr>
                  <w:rFonts w:ascii="Cambria Math" w:hAnsi="Cambria Math"/>
                </w:rPr>
              </m:ctrlPr>
            </m:sSubPr>
            <m:e>
              <m:r>
                <w:rPr>
                  <w:rFonts w:ascii="Cambria Math" w:hAnsi="Cambria Math"/>
                </w:rPr>
                <m:t>t</m:t>
              </m:r>
            </m:e>
            <m:sub>
              <m:r>
                <w:rPr>
                  <w:rFonts w:ascii="Cambria Math" w:hAnsi="Cambria Math"/>
                </w:rPr>
                <m:t>t</m:t>
              </m:r>
            </m:sub>
          </m:sSub>
          <m:r>
            <w:br/>
          </m:r>
        </m:oMath>
      </m:oMathPara>
    </w:p>
    <w:p w14:paraId="150D12F1" w14:textId="77777777" w:rsidR="00852AF6" w:rsidRPr="00852AF6" w:rsidRDefault="00852AF6" w:rsidP="00852AF6">
      <w:r w:rsidRPr="00852AF6">
        <w:t>Where:</w:t>
      </w:r>
    </w:p>
    <w:p w14:paraId="319C7268" w14:textId="77777777" w:rsidR="00852AF6" w:rsidRPr="00852AF6" w:rsidRDefault="00852AF6" w:rsidP="00852AF6">
      <w:pPr>
        <w:numPr>
          <w:ilvl w:val="0"/>
          <w:numId w:val="19"/>
        </w:numPr>
      </w:pPr>
      <w:r w:rsidRPr="00852AF6">
        <w:rPr>
          <w:b/>
          <w:bCs/>
        </w:rPr>
        <w:t>SMP</w:t>
      </w:r>
      <w:r w:rsidRPr="00852AF6">
        <w:t xml:space="preserve"> = wholesale electricity price </w:t>
      </w:r>
    </w:p>
    <w:p w14:paraId="59DDC4DD" w14:textId="77777777" w:rsidR="00852AF6" w:rsidRPr="00852AF6" w:rsidRDefault="00852AF6" w:rsidP="00852AF6">
      <w:pPr>
        <w:numPr>
          <w:ilvl w:val="0"/>
          <w:numId w:val="19"/>
        </w:numPr>
      </w:pPr>
      <w:proofErr w:type="spellStart"/>
      <w:r w:rsidRPr="00852AF6">
        <w:rPr>
          <w:b/>
          <w:bCs/>
        </w:rPr>
        <w:t>RECkWh</w:t>
      </w:r>
      <w:proofErr w:type="spellEnd"/>
      <w:r w:rsidRPr="00852AF6">
        <w:t xml:space="preserve"> = REC value converted into kWh basis </w:t>
      </w:r>
    </w:p>
    <w:p w14:paraId="2BD63E42" w14:textId="77777777" w:rsidR="00852AF6" w:rsidRPr="00852AF6" w:rsidRDefault="00852AF6" w:rsidP="00852AF6">
      <w:pPr>
        <w:numPr>
          <w:ilvl w:val="0"/>
          <w:numId w:val="19"/>
        </w:numPr>
      </w:pPr>
      <w:r w:rsidRPr="00852AF6">
        <w:rPr>
          <w:b/>
          <w:bCs/>
        </w:rPr>
        <w:t>PPA Premium</w:t>
      </w:r>
      <w:r w:rsidRPr="00852AF6">
        <w:t xml:space="preserve"> = premium from long-term corporate power contracts </w:t>
      </w:r>
    </w:p>
    <w:p w14:paraId="551F3A00" w14:textId="77777777" w:rsidR="00852AF6" w:rsidRPr="00852AF6" w:rsidRDefault="00852AF6" w:rsidP="00852AF6">
      <w:pPr>
        <w:numPr>
          <w:ilvl w:val="0"/>
          <w:numId w:val="19"/>
        </w:numPr>
      </w:pPr>
      <w:r w:rsidRPr="00852AF6">
        <w:rPr>
          <w:b/>
          <w:bCs/>
        </w:rPr>
        <w:t>EV Utility Premium</w:t>
      </w:r>
      <w:r w:rsidRPr="00852AF6">
        <w:t xml:space="preserve"> = value generated from EV charging use cases </w:t>
      </w:r>
    </w:p>
    <w:p w14:paraId="2A00EB8A" w14:textId="77777777" w:rsidR="00852AF6" w:rsidRPr="00852AF6" w:rsidRDefault="00852AF6" w:rsidP="00852AF6">
      <w:pPr>
        <w:numPr>
          <w:ilvl w:val="0"/>
          <w:numId w:val="19"/>
        </w:numPr>
      </w:pPr>
      <w:r w:rsidRPr="00852AF6">
        <w:rPr>
          <w:b/>
          <w:bCs/>
        </w:rPr>
        <w:t>Risk Discount</w:t>
      </w:r>
      <w:r w:rsidRPr="00852AF6">
        <w:t xml:space="preserve"> = operational, policy, and market risk discount </w:t>
      </w:r>
    </w:p>
    <w:p w14:paraId="0058E94C" w14:textId="77777777" w:rsidR="00852AF6" w:rsidRPr="00852AF6" w:rsidRDefault="00852AF6" w:rsidP="00852AF6">
      <w:pPr>
        <w:rPr>
          <w:b/>
          <w:bCs/>
        </w:rPr>
      </w:pPr>
      <w:r w:rsidRPr="00852AF6">
        <w:rPr>
          <w:b/>
          <w:bCs/>
        </w:rPr>
        <w:t>10.3 Energy Net Asset Value</w:t>
      </w:r>
    </w:p>
    <w:p w14:paraId="6DFACC1E" w14:textId="32D3EA75" w:rsidR="00852AF6" w:rsidRPr="00852AF6" w:rsidRDefault="00852AF6" w:rsidP="00852AF6">
      <m:oMathPara>
        <m:oMath>
          <m:r>
            <w:rPr>
              <w:rFonts w:ascii="Cambria Math" w:hAnsi="Cambria Math"/>
            </w:rPr>
            <m:t>eNAV=</m:t>
          </m:r>
          <m:f>
            <m:fPr>
              <m:ctrlPr>
                <w:rPr>
                  <w:rFonts w:ascii="Cambria Math" w:hAnsi="Cambria Math"/>
                </w:rPr>
              </m:ctrlPr>
            </m:fPr>
            <m:num>
              <m:r>
                <w:rPr>
                  <w:rFonts w:ascii="Cambria Math" w:hAnsi="Cambria Math"/>
                </w:rPr>
                <m:t>DCF(NDECF)+Cash</m:t>
              </m:r>
              <m:r>
                <m:rPr>
                  <m:sty m:val="p"/>
                </m:rPr>
                <w:rPr>
                  <w:rFonts w:ascii="Cambria Math" w:hAnsi="Cambria Math"/>
                </w:rPr>
                <m:t> </m:t>
              </m:r>
              <m:r>
                <w:rPr>
                  <w:rFonts w:ascii="Cambria Math" w:hAnsi="Cambria Math"/>
                </w:rPr>
                <m:t>Reserve+REC</m:t>
              </m:r>
              <m:r>
                <m:rPr>
                  <m:sty m:val="p"/>
                </m:rPr>
                <w:rPr>
                  <w:rFonts w:ascii="Cambria Math" w:hAnsi="Cambria Math"/>
                </w:rPr>
                <m:t> </m:t>
              </m:r>
              <m:r>
                <w:rPr>
                  <w:rFonts w:ascii="Cambria Math" w:hAnsi="Cambria Math"/>
                </w:rPr>
                <m:t>Inventory-Liabilities</m:t>
              </m:r>
            </m:num>
            <m:den>
              <m:r>
                <w:rPr>
                  <w:rFonts w:ascii="Cambria Math" w:hAnsi="Cambria Math"/>
                </w:rPr>
                <m:t>SPC</m:t>
              </m:r>
              <m:r>
                <m:rPr>
                  <m:sty m:val="p"/>
                </m:rPr>
                <w:rPr>
                  <w:rFonts w:ascii="Cambria Math" w:hAnsi="Cambria Math"/>
                </w:rPr>
                <m:t> </m:t>
              </m:r>
              <m:r>
                <w:rPr>
                  <w:rFonts w:ascii="Cambria Math" w:hAnsi="Cambria Math"/>
                </w:rPr>
                <m:t>Circulating</m:t>
              </m:r>
              <m:r>
                <m:rPr>
                  <m:sty m:val="p"/>
                </m:rPr>
                <w:rPr>
                  <w:rFonts w:ascii="Cambria Math" w:hAnsi="Cambria Math"/>
                </w:rPr>
                <m:t> </m:t>
              </m:r>
              <m:r>
                <w:rPr>
                  <w:rFonts w:ascii="Cambria Math" w:hAnsi="Cambria Math"/>
                </w:rPr>
                <m:t>Supply</m:t>
              </m:r>
            </m:den>
          </m:f>
          <m:r>
            <w:br/>
          </m:r>
        </m:oMath>
      </m:oMathPara>
    </w:p>
    <w:p w14:paraId="49758DFD" w14:textId="77777777" w:rsidR="00852AF6" w:rsidRPr="00852AF6" w:rsidRDefault="00852AF6" w:rsidP="00852AF6">
      <w:r w:rsidRPr="00852AF6">
        <w:t>Where:</w:t>
      </w:r>
    </w:p>
    <w:p w14:paraId="3DD50B23" w14:textId="77777777" w:rsidR="00852AF6" w:rsidRPr="00852AF6" w:rsidRDefault="00852AF6" w:rsidP="00852AF6">
      <w:pPr>
        <w:numPr>
          <w:ilvl w:val="0"/>
          <w:numId w:val="20"/>
        </w:numPr>
      </w:pPr>
      <w:proofErr w:type="spellStart"/>
      <w:r w:rsidRPr="00852AF6">
        <w:rPr>
          <w:b/>
          <w:bCs/>
        </w:rPr>
        <w:t>eNAV</w:t>
      </w:r>
      <w:proofErr w:type="spellEnd"/>
      <w:r w:rsidRPr="00852AF6">
        <w:t xml:space="preserve"> = Energy Net Asset Value </w:t>
      </w:r>
    </w:p>
    <w:p w14:paraId="31190A98" w14:textId="77777777" w:rsidR="00852AF6" w:rsidRPr="00852AF6" w:rsidRDefault="00852AF6" w:rsidP="00852AF6">
      <w:pPr>
        <w:numPr>
          <w:ilvl w:val="0"/>
          <w:numId w:val="20"/>
        </w:numPr>
      </w:pPr>
      <w:r w:rsidRPr="00852AF6">
        <w:rPr>
          <w:b/>
          <w:bCs/>
        </w:rPr>
        <w:t>DCF</w:t>
      </w:r>
      <w:r w:rsidRPr="00852AF6">
        <w:t xml:space="preserve"> = Discounted Cash Flow </w:t>
      </w:r>
    </w:p>
    <w:p w14:paraId="28B82AA2" w14:textId="77777777" w:rsidR="00852AF6" w:rsidRPr="00852AF6" w:rsidRDefault="00852AF6" w:rsidP="00852AF6">
      <w:pPr>
        <w:numPr>
          <w:ilvl w:val="0"/>
          <w:numId w:val="20"/>
        </w:numPr>
      </w:pPr>
      <w:r w:rsidRPr="00852AF6">
        <w:rPr>
          <w:b/>
          <w:bCs/>
        </w:rPr>
        <w:t>NDECF</w:t>
      </w:r>
      <w:r w:rsidRPr="00852AF6">
        <w:t xml:space="preserve"> = Net Distributable Energy Cash Flow </w:t>
      </w:r>
    </w:p>
    <w:p w14:paraId="3C485248" w14:textId="77777777" w:rsidR="00852AF6" w:rsidRPr="00852AF6" w:rsidRDefault="00852AF6" w:rsidP="00852AF6">
      <w:pPr>
        <w:numPr>
          <w:ilvl w:val="0"/>
          <w:numId w:val="20"/>
        </w:numPr>
      </w:pPr>
      <w:r w:rsidRPr="00852AF6">
        <w:rPr>
          <w:b/>
          <w:bCs/>
        </w:rPr>
        <w:t>Cash Reserve</w:t>
      </w:r>
      <w:r w:rsidRPr="00852AF6">
        <w:t xml:space="preserve"> = Treasury reserve </w:t>
      </w:r>
    </w:p>
    <w:p w14:paraId="3D896E4C" w14:textId="77777777" w:rsidR="00852AF6" w:rsidRPr="00852AF6" w:rsidRDefault="00852AF6" w:rsidP="00852AF6">
      <w:pPr>
        <w:numPr>
          <w:ilvl w:val="0"/>
          <w:numId w:val="20"/>
        </w:numPr>
      </w:pPr>
      <w:r w:rsidRPr="00852AF6">
        <w:rPr>
          <w:b/>
          <w:bCs/>
        </w:rPr>
        <w:t>REC Inventory</w:t>
      </w:r>
      <w:r w:rsidRPr="00852AF6">
        <w:t xml:space="preserve"> = Unsold or pending REC value </w:t>
      </w:r>
    </w:p>
    <w:p w14:paraId="5C5920CA" w14:textId="77777777" w:rsidR="00852AF6" w:rsidRPr="00852AF6" w:rsidRDefault="00852AF6" w:rsidP="00852AF6">
      <w:pPr>
        <w:numPr>
          <w:ilvl w:val="0"/>
          <w:numId w:val="20"/>
        </w:numPr>
      </w:pPr>
      <w:r w:rsidRPr="00852AF6">
        <w:rPr>
          <w:b/>
          <w:bCs/>
        </w:rPr>
        <w:t>Liabilities</w:t>
      </w:r>
      <w:r w:rsidRPr="00852AF6">
        <w:t xml:space="preserve"> = Debt, payables, tax, operational obligations </w:t>
      </w:r>
    </w:p>
    <w:p w14:paraId="624BD4A6" w14:textId="77777777" w:rsidR="00852AF6" w:rsidRPr="00852AF6" w:rsidRDefault="00852AF6" w:rsidP="00852AF6">
      <w:pPr>
        <w:rPr>
          <w:b/>
          <w:bCs/>
        </w:rPr>
      </w:pPr>
      <w:r w:rsidRPr="00852AF6">
        <w:rPr>
          <w:b/>
          <w:bCs/>
        </w:rPr>
        <w:t>10.4 Illustrative Reference Value</w:t>
      </w:r>
    </w:p>
    <w:p w14:paraId="1229DA65" w14:textId="77777777" w:rsidR="00852AF6" w:rsidRPr="00852AF6" w:rsidRDefault="00852AF6" w:rsidP="00852AF6">
      <w:r w:rsidRPr="00852AF6">
        <w:t xml:space="preserve">Based on KPX data cited above, a simplified illustrative calculation using mainland SMP of 129.96 KRW/kWh and REC average price of 70,931 KRW/REC produces an approximate combined energy reference value of around 200.891 KRW/kWh before applying asset-specific REC weights, operational discounts, taxes, fees, and policy adjustments. </w:t>
      </w:r>
    </w:p>
    <w:p w14:paraId="6AAC125B" w14:textId="77777777" w:rsidR="00852AF6" w:rsidRPr="00852AF6" w:rsidRDefault="00852AF6" w:rsidP="00852AF6">
      <w:r w:rsidRPr="00852AF6">
        <w:t>This number should be treated as a market reference example, not a guaranteed token price.</w:t>
      </w:r>
    </w:p>
    <w:p w14:paraId="664919B4" w14:textId="77777777" w:rsidR="00852AF6" w:rsidRPr="00852AF6" w:rsidRDefault="00852AF6" w:rsidP="00852AF6">
      <w:r w:rsidRPr="00852AF6">
        <w:pict w14:anchorId="180E0C0F">
          <v:rect id="_x0000_i1180" style="width:0;height:1.5pt" o:hralign="center" o:hrstd="t" o:hr="t" fillcolor="#a0a0a0" stroked="f"/>
        </w:pict>
      </w:r>
    </w:p>
    <w:p w14:paraId="1D6BF6C5" w14:textId="77777777" w:rsidR="00852AF6" w:rsidRPr="00852AF6" w:rsidRDefault="00852AF6" w:rsidP="00852AF6">
      <w:pPr>
        <w:rPr>
          <w:b/>
          <w:bCs/>
        </w:rPr>
      </w:pPr>
      <w:r w:rsidRPr="00852AF6">
        <w:rPr>
          <w:b/>
          <w:bCs/>
        </w:rPr>
        <w:t xml:space="preserve">11. </w:t>
      </w:r>
      <w:proofErr w:type="spellStart"/>
      <w:r w:rsidRPr="00852AF6">
        <w:rPr>
          <w:b/>
          <w:bCs/>
        </w:rPr>
        <w:t>Supervizion</w:t>
      </w:r>
      <w:proofErr w:type="spellEnd"/>
      <w:r w:rsidRPr="00852AF6">
        <w:rPr>
          <w:b/>
          <w:bCs/>
        </w:rPr>
        <w:t xml:space="preserve"> Wallet User Flow</w:t>
      </w:r>
    </w:p>
    <w:p w14:paraId="51E69804" w14:textId="77777777" w:rsidR="00852AF6" w:rsidRPr="00852AF6" w:rsidRDefault="00852AF6" w:rsidP="00852AF6">
      <w:pPr>
        <w:rPr>
          <w:b/>
          <w:bCs/>
        </w:rPr>
      </w:pPr>
      <w:r w:rsidRPr="00852AF6">
        <w:rPr>
          <w:b/>
          <w:bCs/>
        </w:rPr>
        <w:t>11.1 Step 01: SLC Acquisition</w:t>
      </w:r>
    </w:p>
    <w:p w14:paraId="1662B0FD" w14:textId="77777777" w:rsidR="00852AF6" w:rsidRPr="00852AF6" w:rsidRDefault="00852AF6" w:rsidP="00852AF6">
      <w:r w:rsidRPr="00852AF6">
        <w:t>Users acquire SLC through approved channels such as:</w:t>
      </w:r>
    </w:p>
    <w:p w14:paraId="632CA416" w14:textId="77777777" w:rsidR="00852AF6" w:rsidRPr="00852AF6" w:rsidRDefault="00852AF6" w:rsidP="00852AF6">
      <w:pPr>
        <w:numPr>
          <w:ilvl w:val="0"/>
          <w:numId w:val="21"/>
        </w:numPr>
      </w:pPr>
      <w:r w:rsidRPr="00852AF6">
        <w:t xml:space="preserve">Licensed virtual asset exchanges </w:t>
      </w:r>
    </w:p>
    <w:p w14:paraId="429FD973" w14:textId="77777777" w:rsidR="00852AF6" w:rsidRPr="00852AF6" w:rsidRDefault="00852AF6" w:rsidP="00852AF6">
      <w:pPr>
        <w:numPr>
          <w:ilvl w:val="0"/>
          <w:numId w:val="21"/>
        </w:numPr>
      </w:pPr>
      <w:r w:rsidRPr="00852AF6">
        <w:t xml:space="preserve">DEX liquidity pools </w:t>
      </w:r>
    </w:p>
    <w:p w14:paraId="0965FB7B" w14:textId="77777777" w:rsidR="00852AF6" w:rsidRPr="00852AF6" w:rsidRDefault="00852AF6" w:rsidP="00852AF6">
      <w:pPr>
        <w:numPr>
          <w:ilvl w:val="0"/>
          <w:numId w:val="21"/>
        </w:numPr>
      </w:pPr>
      <w:r w:rsidRPr="00852AF6">
        <w:t xml:space="preserve">OTC desks </w:t>
      </w:r>
    </w:p>
    <w:p w14:paraId="286D43F9" w14:textId="77777777" w:rsidR="00852AF6" w:rsidRPr="00852AF6" w:rsidRDefault="00852AF6" w:rsidP="00852AF6">
      <w:pPr>
        <w:numPr>
          <w:ilvl w:val="0"/>
          <w:numId w:val="21"/>
        </w:numPr>
      </w:pPr>
      <w:r w:rsidRPr="00852AF6">
        <w:t xml:space="preserve">Institutional partners </w:t>
      </w:r>
    </w:p>
    <w:p w14:paraId="02D57A55" w14:textId="77777777" w:rsidR="00852AF6" w:rsidRPr="00852AF6" w:rsidRDefault="00852AF6" w:rsidP="00852AF6">
      <w:pPr>
        <w:numPr>
          <w:ilvl w:val="0"/>
          <w:numId w:val="21"/>
        </w:numPr>
      </w:pPr>
      <w:proofErr w:type="spellStart"/>
      <w:r w:rsidRPr="00852AF6">
        <w:t>Supervizion</w:t>
      </w:r>
      <w:proofErr w:type="spellEnd"/>
      <w:r w:rsidRPr="00852AF6">
        <w:t xml:space="preserve"> Wallet-supported on-ramp channels </w:t>
      </w:r>
    </w:p>
    <w:p w14:paraId="52C2BE4F" w14:textId="77777777" w:rsidR="00852AF6" w:rsidRPr="00852AF6" w:rsidRDefault="00852AF6" w:rsidP="00852AF6">
      <w:r w:rsidRPr="00852AF6">
        <w:t>Exchange names should only be disclosed after formal listing or trading support confirmation.</w:t>
      </w:r>
    </w:p>
    <w:p w14:paraId="140BB5B8" w14:textId="77777777" w:rsidR="00852AF6" w:rsidRPr="00852AF6" w:rsidRDefault="00852AF6" w:rsidP="00852AF6">
      <w:r w:rsidRPr="00852AF6">
        <w:t>Recommended wording:</w:t>
      </w:r>
    </w:p>
    <w:p w14:paraId="2047163C" w14:textId="77777777" w:rsidR="00852AF6" w:rsidRPr="00852AF6" w:rsidRDefault="00852AF6" w:rsidP="00852AF6">
      <w:r w:rsidRPr="00852AF6">
        <w:t>Project S will pursue trading support and liquidity partnerships with domestic and global virtual asset platforms. Any confirmed listing or trading support will be announced only through official channels.</w:t>
      </w:r>
    </w:p>
    <w:p w14:paraId="622CACB9" w14:textId="77777777" w:rsidR="00852AF6" w:rsidRPr="00852AF6" w:rsidRDefault="00852AF6" w:rsidP="00852AF6">
      <w:pPr>
        <w:rPr>
          <w:b/>
          <w:bCs/>
        </w:rPr>
      </w:pPr>
      <w:r w:rsidRPr="00852AF6">
        <w:rPr>
          <w:b/>
          <w:bCs/>
        </w:rPr>
        <w:t>11.2 Step 02: SLC-to-SPC Conversion</w:t>
      </w:r>
    </w:p>
    <w:p w14:paraId="66EB267F" w14:textId="77777777" w:rsidR="00852AF6" w:rsidRPr="00852AF6" w:rsidRDefault="00852AF6" w:rsidP="00852AF6">
      <w:r w:rsidRPr="00852AF6">
        <w:t xml:space="preserve">Users convert SLC into SPC through the </w:t>
      </w:r>
      <w:proofErr w:type="spellStart"/>
      <w:r w:rsidRPr="00852AF6">
        <w:t>Supervizion</w:t>
      </w:r>
      <w:proofErr w:type="spellEnd"/>
      <w:r w:rsidRPr="00852AF6">
        <w:t xml:space="preserve"> Wallet swap interface or Foundation-approved OTC smart contract.</w:t>
      </w:r>
    </w:p>
    <w:p w14:paraId="6630C88D" w14:textId="77777777" w:rsidR="00852AF6" w:rsidRPr="00852AF6" w:rsidRDefault="00852AF6" w:rsidP="00852AF6">
      <w:r w:rsidRPr="00852AF6">
        <w:t>Key features:</w:t>
      </w:r>
    </w:p>
    <w:p w14:paraId="788AB112" w14:textId="77777777" w:rsidR="00852AF6" w:rsidRPr="00852AF6" w:rsidRDefault="00852AF6" w:rsidP="00852AF6">
      <w:pPr>
        <w:numPr>
          <w:ilvl w:val="0"/>
          <w:numId w:val="22"/>
        </w:numPr>
      </w:pPr>
      <w:r w:rsidRPr="00852AF6">
        <w:t xml:space="preserve">Fixed quote system </w:t>
      </w:r>
    </w:p>
    <w:p w14:paraId="7BB7F64C" w14:textId="77777777" w:rsidR="00852AF6" w:rsidRPr="00852AF6" w:rsidRDefault="00852AF6" w:rsidP="00852AF6">
      <w:pPr>
        <w:numPr>
          <w:ilvl w:val="0"/>
          <w:numId w:val="22"/>
        </w:numPr>
      </w:pPr>
      <w:r w:rsidRPr="00852AF6">
        <w:t xml:space="preserve">Slippage protection </w:t>
      </w:r>
    </w:p>
    <w:p w14:paraId="5B70BE10" w14:textId="77777777" w:rsidR="00852AF6" w:rsidRPr="00852AF6" w:rsidRDefault="00852AF6" w:rsidP="00852AF6">
      <w:pPr>
        <w:numPr>
          <w:ilvl w:val="0"/>
          <w:numId w:val="22"/>
        </w:numPr>
      </w:pPr>
      <w:r w:rsidRPr="00852AF6">
        <w:t xml:space="preserve">KYC-tiered limits </w:t>
      </w:r>
    </w:p>
    <w:p w14:paraId="0F3860C7" w14:textId="77777777" w:rsidR="00852AF6" w:rsidRPr="00852AF6" w:rsidRDefault="00852AF6" w:rsidP="00852AF6">
      <w:pPr>
        <w:numPr>
          <w:ilvl w:val="0"/>
          <w:numId w:val="22"/>
        </w:numPr>
      </w:pPr>
      <w:r w:rsidRPr="00852AF6">
        <w:t xml:space="preserve">Quote expiration timer </w:t>
      </w:r>
    </w:p>
    <w:p w14:paraId="00E57A87" w14:textId="77777777" w:rsidR="00852AF6" w:rsidRPr="00852AF6" w:rsidRDefault="00852AF6" w:rsidP="00852AF6">
      <w:pPr>
        <w:numPr>
          <w:ilvl w:val="0"/>
          <w:numId w:val="22"/>
        </w:numPr>
      </w:pPr>
      <w:r w:rsidRPr="00852AF6">
        <w:t xml:space="preserve">On-chain settlement </w:t>
      </w:r>
    </w:p>
    <w:p w14:paraId="7E9A4469" w14:textId="77777777" w:rsidR="00852AF6" w:rsidRPr="00852AF6" w:rsidRDefault="00852AF6" w:rsidP="00852AF6">
      <w:pPr>
        <w:numPr>
          <w:ilvl w:val="0"/>
          <w:numId w:val="22"/>
        </w:numPr>
      </w:pPr>
      <w:r w:rsidRPr="00852AF6">
        <w:t xml:space="preserve">Liquidity queue if supply is limited </w:t>
      </w:r>
    </w:p>
    <w:p w14:paraId="7F3F7943" w14:textId="77777777" w:rsidR="00852AF6" w:rsidRPr="00852AF6" w:rsidRDefault="00852AF6" w:rsidP="00852AF6">
      <w:pPr>
        <w:numPr>
          <w:ilvl w:val="0"/>
          <w:numId w:val="22"/>
        </w:numPr>
      </w:pPr>
      <w:r w:rsidRPr="00852AF6">
        <w:t xml:space="preserve">Circuit breaker during abnormal volatility </w:t>
      </w:r>
    </w:p>
    <w:p w14:paraId="411BF427" w14:textId="77777777" w:rsidR="00852AF6" w:rsidRPr="00852AF6" w:rsidRDefault="00852AF6" w:rsidP="00852AF6">
      <w:pPr>
        <w:numPr>
          <w:ilvl w:val="0"/>
          <w:numId w:val="22"/>
        </w:numPr>
      </w:pPr>
      <w:r w:rsidRPr="00852AF6">
        <w:t xml:space="preserve">Transparent conversion record </w:t>
      </w:r>
    </w:p>
    <w:p w14:paraId="68725CE6" w14:textId="77777777" w:rsidR="00852AF6" w:rsidRPr="00852AF6" w:rsidRDefault="00852AF6" w:rsidP="00852AF6">
      <w:pPr>
        <w:rPr>
          <w:b/>
          <w:bCs/>
        </w:rPr>
      </w:pPr>
      <w:r w:rsidRPr="00852AF6">
        <w:rPr>
          <w:b/>
          <w:bCs/>
        </w:rPr>
        <w:t>11.3 Step 03: Dual Staking</w:t>
      </w:r>
    </w:p>
    <w:p w14:paraId="0662D081" w14:textId="77777777" w:rsidR="00852AF6" w:rsidRPr="00852AF6" w:rsidRDefault="00852AF6" w:rsidP="00852AF6">
      <w:r w:rsidRPr="00852AF6">
        <w:t xml:space="preserve">Users may stake SPC and SLC through </w:t>
      </w:r>
      <w:proofErr w:type="spellStart"/>
      <w:r w:rsidRPr="00852AF6">
        <w:t>Supervizion</w:t>
      </w:r>
      <w:proofErr w:type="spellEnd"/>
      <w:r w:rsidRPr="00852AF6">
        <w:t xml:space="preserve"> Wallet.</w:t>
      </w:r>
    </w:p>
    <w:p w14:paraId="17E59C63" w14:textId="77777777" w:rsidR="00852AF6" w:rsidRPr="00852AF6" w:rsidRDefault="00852AF6" w:rsidP="00852AF6">
      <w:r w:rsidRPr="00852AF6">
        <w:t>Staking types: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77"/>
        <w:gridCol w:w="5180"/>
      </w:tblGrid>
      <w:tr w:rsidR="00852AF6" w:rsidRPr="00852AF6" w14:paraId="027B1841" w14:textId="77777777">
        <w:trPr>
          <w:tblHeader/>
          <w:tblCellSpacing w:w="15" w:type="dxa"/>
        </w:trPr>
        <w:tc>
          <w:tcPr>
            <w:tcW w:w="0" w:type="auto"/>
            <w:vAlign w:val="center"/>
            <w:hideMark/>
          </w:tcPr>
          <w:p w14:paraId="5EAD4C4B" w14:textId="77777777" w:rsidR="00852AF6" w:rsidRPr="00852AF6" w:rsidRDefault="00852AF6" w:rsidP="00852AF6">
            <w:pPr>
              <w:rPr>
                <w:b/>
                <w:bCs/>
              </w:rPr>
            </w:pPr>
            <w:r w:rsidRPr="00852AF6">
              <w:rPr>
                <w:b/>
                <w:bCs/>
              </w:rPr>
              <w:t>Staking Type</w:t>
            </w:r>
          </w:p>
        </w:tc>
        <w:tc>
          <w:tcPr>
            <w:tcW w:w="0" w:type="auto"/>
            <w:vAlign w:val="center"/>
            <w:hideMark/>
          </w:tcPr>
          <w:p w14:paraId="3954BA47" w14:textId="77777777" w:rsidR="00852AF6" w:rsidRPr="00852AF6" w:rsidRDefault="00852AF6" w:rsidP="00852AF6">
            <w:pPr>
              <w:rPr>
                <w:b/>
                <w:bCs/>
              </w:rPr>
            </w:pPr>
            <w:r w:rsidRPr="00852AF6">
              <w:rPr>
                <w:b/>
                <w:bCs/>
              </w:rPr>
              <w:t>Purpose</w:t>
            </w:r>
          </w:p>
        </w:tc>
      </w:tr>
      <w:tr w:rsidR="00852AF6" w:rsidRPr="00852AF6" w14:paraId="7C993815" w14:textId="77777777">
        <w:trPr>
          <w:tblCellSpacing w:w="15" w:type="dxa"/>
        </w:trPr>
        <w:tc>
          <w:tcPr>
            <w:tcW w:w="0" w:type="auto"/>
            <w:vAlign w:val="center"/>
            <w:hideMark/>
          </w:tcPr>
          <w:p w14:paraId="475E1CA7" w14:textId="77777777" w:rsidR="00852AF6" w:rsidRPr="00852AF6" w:rsidRDefault="00852AF6" w:rsidP="00852AF6">
            <w:r w:rsidRPr="00852AF6">
              <w:t>SPC Staking</w:t>
            </w:r>
          </w:p>
        </w:tc>
        <w:tc>
          <w:tcPr>
            <w:tcW w:w="0" w:type="auto"/>
            <w:vAlign w:val="center"/>
            <w:hideMark/>
          </w:tcPr>
          <w:p w14:paraId="007DFE80" w14:textId="77777777" w:rsidR="00852AF6" w:rsidRPr="00852AF6" w:rsidRDefault="00852AF6" w:rsidP="00852AF6">
            <w:r w:rsidRPr="00852AF6">
              <w:t>Participation in energy-linked reward pool</w:t>
            </w:r>
          </w:p>
        </w:tc>
      </w:tr>
      <w:tr w:rsidR="00852AF6" w:rsidRPr="00852AF6" w14:paraId="5E493B08" w14:textId="77777777">
        <w:trPr>
          <w:tblCellSpacing w:w="15" w:type="dxa"/>
        </w:trPr>
        <w:tc>
          <w:tcPr>
            <w:tcW w:w="0" w:type="auto"/>
            <w:vAlign w:val="center"/>
            <w:hideMark/>
          </w:tcPr>
          <w:p w14:paraId="1D0977B1" w14:textId="77777777" w:rsidR="00852AF6" w:rsidRPr="00852AF6" w:rsidRDefault="00852AF6" w:rsidP="00852AF6">
            <w:r w:rsidRPr="00852AF6">
              <w:t>SLC Staking</w:t>
            </w:r>
          </w:p>
        </w:tc>
        <w:tc>
          <w:tcPr>
            <w:tcW w:w="0" w:type="auto"/>
            <w:vAlign w:val="center"/>
            <w:hideMark/>
          </w:tcPr>
          <w:p w14:paraId="0F417C46" w14:textId="77777777" w:rsidR="00852AF6" w:rsidRPr="00852AF6" w:rsidRDefault="00852AF6" w:rsidP="00852AF6">
            <w:r w:rsidRPr="00852AF6">
              <w:t>Ecosystem incentives and governance participation</w:t>
            </w:r>
          </w:p>
        </w:tc>
      </w:tr>
      <w:tr w:rsidR="00852AF6" w:rsidRPr="00852AF6" w14:paraId="25F4D710" w14:textId="77777777">
        <w:trPr>
          <w:tblCellSpacing w:w="15" w:type="dxa"/>
        </w:trPr>
        <w:tc>
          <w:tcPr>
            <w:tcW w:w="0" w:type="auto"/>
            <w:vAlign w:val="center"/>
            <w:hideMark/>
          </w:tcPr>
          <w:p w14:paraId="3A6A8530" w14:textId="77777777" w:rsidR="00852AF6" w:rsidRPr="00852AF6" w:rsidRDefault="00852AF6" w:rsidP="00852AF6">
            <w:r w:rsidRPr="00852AF6">
              <w:t>SPC + SLC Dual Staking</w:t>
            </w:r>
          </w:p>
        </w:tc>
        <w:tc>
          <w:tcPr>
            <w:tcW w:w="0" w:type="auto"/>
            <w:vAlign w:val="center"/>
            <w:hideMark/>
          </w:tcPr>
          <w:p w14:paraId="23844FC4" w14:textId="77777777" w:rsidR="00852AF6" w:rsidRPr="00852AF6" w:rsidRDefault="00852AF6" w:rsidP="00852AF6">
            <w:r w:rsidRPr="00852AF6">
              <w:t>Reward multiplier and enhanced utility tier</w:t>
            </w:r>
          </w:p>
        </w:tc>
      </w:tr>
      <w:tr w:rsidR="00852AF6" w:rsidRPr="00852AF6" w14:paraId="61F7B70A" w14:textId="77777777">
        <w:trPr>
          <w:tblCellSpacing w:w="15" w:type="dxa"/>
        </w:trPr>
        <w:tc>
          <w:tcPr>
            <w:tcW w:w="0" w:type="auto"/>
            <w:vAlign w:val="center"/>
            <w:hideMark/>
          </w:tcPr>
          <w:p w14:paraId="3CEB57E1" w14:textId="77777777" w:rsidR="00852AF6" w:rsidRPr="00852AF6" w:rsidRDefault="00852AF6" w:rsidP="00852AF6">
            <w:r w:rsidRPr="00852AF6">
              <w:t>LP Staking</w:t>
            </w:r>
          </w:p>
        </w:tc>
        <w:tc>
          <w:tcPr>
            <w:tcW w:w="0" w:type="auto"/>
            <w:vAlign w:val="center"/>
            <w:hideMark/>
          </w:tcPr>
          <w:p w14:paraId="2B972F20" w14:textId="77777777" w:rsidR="00852AF6" w:rsidRPr="00852AF6" w:rsidRDefault="00852AF6" w:rsidP="00852AF6">
            <w:r w:rsidRPr="00852AF6">
              <w:t>DEX liquidity support and additional incentives</w:t>
            </w:r>
          </w:p>
        </w:tc>
      </w:tr>
    </w:tbl>
    <w:p w14:paraId="7735E15B" w14:textId="77777777" w:rsidR="00852AF6" w:rsidRPr="00852AF6" w:rsidRDefault="00852AF6" w:rsidP="00852AF6">
      <w:r w:rsidRPr="00852AF6">
        <w:pict w14:anchorId="6DF15AE9">
          <v:rect id="_x0000_i1181" style="width:0;height:1.5pt" o:hralign="center" o:hrstd="t" o:hr="t" fillcolor="#a0a0a0" stroked="f"/>
        </w:pict>
      </w:r>
    </w:p>
    <w:p w14:paraId="69136162" w14:textId="77777777" w:rsidR="00852AF6" w:rsidRPr="00852AF6" w:rsidRDefault="00852AF6" w:rsidP="00852AF6">
      <w:pPr>
        <w:rPr>
          <w:b/>
          <w:bCs/>
        </w:rPr>
      </w:pPr>
      <w:r w:rsidRPr="00852AF6">
        <w:rPr>
          <w:b/>
          <w:bCs/>
        </w:rPr>
        <w:t>12. Staking and Reward Architecture</w:t>
      </w:r>
    </w:p>
    <w:p w14:paraId="278BDA39" w14:textId="77777777" w:rsidR="00852AF6" w:rsidRPr="00852AF6" w:rsidRDefault="00852AF6" w:rsidP="00852AF6">
      <w:pPr>
        <w:rPr>
          <w:b/>
          <w:bCs/>
        </w:rPr>
      </w:pPr>
      <w:r w:rsidRPr="00852AF6">
        <w:rPr>
          <w:b/>
          <w:bCs/>
        </w:rPr>
        <w:t>12.1 Reward Philosophy</w:t>
      </w:r>
    </w:p>
    <w:p w14:paraId="3B3F8C95" w14:textId="77777777" w:rsidR="00852AF6" w:rsidRPr="00852AF6" w:rsidRDefault="00852AF6" w:rsidP="00852AF6">
      <w:r w:rsidRPr="00852AF6">
        <w:t>Project S staking is designed around sustainable reward sources.</w:t>
      </w:r>
    </w:p>
    <w:p w14:paraId="1000FBBC" w14:textId="77777777" w:rsidR="00852AF6" w:rsidRPr="00852AF6" w:rsidRDefault="00852AF6" w:rsidP="00852AF6">
      <w:r w:rsidRPr="00852AF6">
        <w:t>Reward sources may include:</w:t>
      </w:r>
    </w:p>
    <w:p w14:paraId="10C61957" w14:textId="77777777" w:rsidR="00852AF6" w:rsidRPr="00852AF6" w:rsidRDefault="00852AF6" w:rsidP="00852AF6">
      <w:pPr>
        <w:numPr>
          <w:ilvl w:val="0"/>
          <w:numId w:val="23"/>
        </w:numPr>
      </w:pPr>
      <w:r w:rsidRPr="00852AF6">
        <w:rPr>
          <w:b/>
          <w:bCs/>
        </w:rPr>
        <w:t>Energy Cash Flow</w:t>
      </w:r>
      <w:r w:rsidRPr="00852AF6">
        <w:br/>
        <w:t xml:space="preserve">Net revenue from power generation, REC sales, PPA contracts, and EV charging. </w:t>
      </w:r>
    </w:p>
    <w:p w14:paraId="1AC6E15F" w14:textId="77777777" w:rsidR="00852AF6" w:rsidRPr="00852AF6" w:rsidRDefault="00852AF6" w:rsidP="00852AF6">
      <w:pPr>
        <w:numPr>
          <w:ilvl w:val="0"/>
          <w:numId w:val="23"/>
        </w:numPr>
      </w:pPr>
      <w:r w:rsidRPr="00852AF6">
        <w:rPr>
          <w:b/>
          <w:bCs/>
        </w:rPr>
        <w:t>Protocol Fees</w:t>
      </w:r>
      <w:r w:rsidRPr="00852AF6">
        <w:br/>
      </w:r>
      <w:proofErr w:type="spellStart"/>
      <w:r w:rsidRPr="00852AF6">
        <w:t>Fees</w:t>
      </w:r>
      <w:proofErr w:type="spellEnd"/>
      <w:r w:rsidRPr="00852AF6">
        <w:t xml:space="preserve"> from swaps, wallet activity, settlement, liquidity routing, and partner integrations. </w:t>
      </w:r>
    </w:p>
    <w:p w14:paraId="5AC0A6EB" w14:textId="77777777" w:rsidR="00852AF6" w:rsidRPr="00852AF6" w:rsidRDefault="00852AF6" w:rsidP="00852AF6">
      <w:pPr>
        <w:numPr>
          <w:ilvl w:val="0"/>
          <w:numId w:val="23"/>
        </w:numPr>
      </w:pPr>
      <w:r w:rsidRPr="00852AF6">
        <w:rPr>
          <w:b/>
          <w:bCs/>
        </w:rPr>
        <w:t>Genesis Incentive Vault</w:t>
      </w:r>
      <w:r w:rsidRPr="00852AF6">
        <w:br/>
      </w:r>
      <w:proofErr w:type="gramStart"/>
      <w:r w:rsidRPr="00852AF6">
        <w:t>Pre-allocated</w:t>
      </w:r>
      <w:proofErr w:type="gramEnd"/>
      <w:r w:rsidRPr="00852AF6">
        <w:t xml:space="preserve"> ecosystem incentives for early participants. </w:t>
      </w:r>
    </w:p>
    <w:p w14:paraId="2BD0620F" w14:textId="77777777" w:rsidR="00852AF6" w:rsidRPr="00852AF6" w:rsidRDefault="00852AF6" w:rsidP="00852AF6">
      <w:pPr>
        <w:rPr>
          <w:b/>
          <w:bCs/>
        </w:rPr>
      </w:pPr>
      <w:r w:rsidRPr="00852AF6">
        <w:rPr>
          <w:b/>
          <w:bCs/>
        </w:rPr>
        <w:t>12.2 Target Reward, Not Guaranteed Yield</w:t>
      </w:r>
    </w:p>
    <w:p w14:paraId="744EA75F" w14:textId="77777777" w:rsidR="00852AF6" w:rsidRPr="00852AF6" w:rsidRDefault="00852AF6" w:rsidP="00852AF6">
      <w:r w:rsidRPr="00852AF6">
        <w:t>For compliance and sustainability, Project S should not describe staking rewards as guaranteed interest.</w:t>
      </w:r>
    </w:p>
    <w:p w14:paraId="0877E41F" w14:textId="77777777" w:rsidR="00852AF6" w:rsidRPr="00852AF6" w:rsidRDefault="00852AF6" w:rsidP="00852AF6">
      <w:r w:rsidRPr="00852AF6">
        <w:t>Recommended wording:</w:t>
      </w:r>
    </w:p>
    <w:p w14:paraId="7A772F6E" w14:textId="77777777" w:rsidR="00852AF6" w:rsidRPr="00852AF6" w:rsidRDefault="00852AF6" w:rsidP="00852AF6">
      <w:r w:rsidRPr="00852AF6">
        <w:t>The Genesis Staking Program may target up to 1.5% weekly reward distribution during the early ecosystem bootstrapping phase. Actual rewards may vary depending on treasury reserves, energy cash flow, protocol revenue, market conditions, reserve coverage, legal review, and governance approval.</w:t>
      </w:r>
    </w:p>
    <w:p w14:paraId="49639BAD" w14:textId="77777777" w:rsidR="00852AF6" w:rsidRPr="00852AF6" w:rsidRDefault="00852AF6" w:rsidP="00852AF6">
      <w:pPr>
        <w:rPr>
          <w:b/>
          <w:bCs/>
        </w:rPr>
      </w:pPr>
      <w:r w:rsidRPr="00852AF6">
        <w:rPr>
          <w:b/>
          <w:bCs/>
        </w:rPr>
        <w:t>12.3 Reward Waterfall</w:t>
      </w:r>
    </w:p>
    <w:p w14:paraId="0D581A7C" w14:textId="77777777" w:rsidR="00852AF6" w:rsidRPr="00852AF6" w:rsidRDefault="00852AF6" w:rsidP="00852AF6">
      <w:r w:rsidRPr="00852AF6">
        <w:t>The protocol distributes revenue based on a conservative waterfall.</w:t>
      </w:r>
    </w:p>
    <w:p w14:paraId="07FCCA56" w14:textId="77777777" w:rsidR="00852AF6" w:rsidRPr="00852AF6" w:rsidRDefault="00852AF6" w:rsidP="00852AF6">
      <w:pPr>
        <w:numPr>
          <w:ilvl w:val="0"/>
          <w:numId w:val="24"/>
        </w:numPr>
      </w:pPr>
      <w:r w:rsidRPr="00852AF6">
        <w:t xml:space="preserve">Power plant operating costs </w:t>
      </w:r>
    </w:p>
    <w:p w14:paraId="07EAFD11" w14:textId="77777777" w:rsidR="00852AF6" w:rsidRPr="00852AF6" w:rsidRDefault="00852AF6" w:rsidP="00852AF6">
      <w:pPr>
        <w:numPr>
          <w:ilvl w:val="0"/>
          <w:numId w:val="24"/>
        </w:numPr>
      </w:pPr>
      <w:r w:rsidRPr="00852AF6">
        <w:t xml:space="preserve">Insurance and maintenance </w:t>
      </w:r>
    </w:p>
    <w:p w14:paraId="5CFB3503" w14:textId="77777777" w:rsidR="00852AF6" w:rsidRPr="00852AF6" w:rsidRDefault="00852AF6" w:rsidP="00852AF6">
      <w:pPr>
        <w:numPr>
          <w:ilvl w:val="0"/>
          <w:numId w:val="24"/>
        </w:numPr>
      </w:pPr>
      <w:r w:rsidRPr="00852AF6">
        <w:t xml:space="preserve">Taxes and statutory expenses </w:t>
      </w:r>
    </w:p>
    <w:p w14:paraId="2C2DAB01" w14:textId="77777777" w:rsidR="00852AF6" w:rsidRPr="00852AF6" w:rsidRDefault="00852AF6" w:rsidP="00852AF6">
      <w:pPr>
        <w:numPr>
          <w:ilvl w:val="0"/>
          <w:numId w:val="24"/>
        </w:numPr>
      </w:pPr>
      <w:r w:rsidRPr="00852AF6">
        <w:t xml:space="preserve">Debt service or financing costs </w:t>
      </w:r>
    </w:p>
    <w:p w14:paraId="6F0602F4" w14:textId="77777777" w:rsidR="00852AF6" w:rsidRPr="00852AF6" w:rsidRDefault="00852AF6" w:rsidP="00852AF6">
      <w:pPr>
        <w:numPr>
          <w:ilvl w:val="0"/>
          <w:numId w:val="24"/>
        </w:numPr>
      </w:pPr>
      <w:r w:rsidRPr="00852AF6">
        <w:t xml:space="preserve">Safety reserve accumulation </w:t>
      </w:r>
    </w:p>
    <w:p w14:paraId="54AC3051" w14:textId="77777777" w:rsidR="00852AF6" w:rsidRPr="00852AF6" w:rsidRDefault="00852AF6" w:rsidP="00852AF6">
      <w:pPr>
        <w:numPr>
          <w:ilvl w:val="0"/>
          <w:numId w:val="24"/>
        </w:numPr>
      </w:pPr>
      <w:r w:rsidRPr="00852AF6">
        <w:t xml:space="preserve">SPC staking reward pool </w:t>
      </w:r>
    </w:p>
    <w:p w14:paraId="6CC67FFF" w14:textId="77777777" w:rsidR="00852AF6" w:rsidRPr="00852AF6" w:rsidRDefault="00852AF6" w:rsidP="00852AF6">
      <w:pPr>
        <w:numPr>
          <w:ilvl w:val="0"/>
          <w:numId w:val="24"/>
        </w:numPr>
      </w:pPr>
      <w:r w:rsidRPr="00852AF6">
        <w:t xml:space="preserve">SLC buyback allocation </w:t>
      </w:r>
    </w:p>
    <w:p w14:paraId="16293B0C" w14:textId="77777777" w:rsidR="00852AF6" w:rsidRPr="00852AF6" w:rsidRDefault="00852AF6" w:rsidP="00852AF6">
      <w:pPr>
        <w:numPr>
          <w:ilvl w:val="0"/>
          <w:numId w:val="24"/>
        </w:numPr>
      </w:pPr>
      <w:r w:rsidRPr="00852AF6">
        <w:t xml:space="preserve">SLC burn allocation </w:t>
      </w:r>
    </w:p>
    <w:p w14:paraId="46CAF3EE" w14:textId="77777777" w:rsidR="00852AF6" w:rsidRPr="00852AF6" w:rsidRDefault="00852AF6" w:rsidP="00852AF6">
      <w:pPr>
        <w:numPr>
          <w:ilvl w:val="0"/>
          <w:numId w:val="24"/>
        </w:numPr>
      </w:pPr>
      <w:r w:rsidRPr="00852AF6">
        <w:t xml:space="preserve">New solar asset expansion </w:t>
      </w:r>
    </w:p>
    <w:p w14:paraId="72FCD09E" w14:textId="77777777" w:rsidR="00852AF6" w:rsidRPr="00852AF6" w:rsidRDefault="00852AF6" w:rsidP="00852AF6">
      <w:pPr>
        <w:numPr>
          <w:ilvl w:val="0"/>
          <w:numId w:val="24"/>
        </w:numPr>
      </w:pPr>
      <w:r w:rsidRPr="00852AF6">
        <w:t xml:space="preserve">Ecosystem grants and partnerships </w:t>
      </w:r>
    </w:p>
    <w:p w14:paraId="67DC3176" w14:textId="77777777" w:rsidR="00852AF6" w:rsidRPr="00852AF6" w:rsidRDefault="00852AF6" w:rsidP="00852AF6">
      <w:pPr>
        <w:rPr>
          <w:b/>
          <w:bCs/>
        </w:rPr>
      </w:pPr>
      <w:r w:rsidRPr="00852AF6">
        <w:rPr>
          <w:b/>
          <w:bCs/>
        </w:rPr>
        <w:t>12.4 Lock-Up and Early Withdrawal</w:t>
      </w:r>
    </w:p>
    <w:p w14:paraId="056263A6" w14:textId="77777777" w:rsidR="00852AF6" w:rsidRPr="00852AF6" w:rsidRDefault="00852AF6" w:rsidP="00852AF6">
      <w:r w:rsidRPr="00852AF6">
        <w:t>The default staking period may be set at 12 months.</w:t>
      </w:r>
    </w:p>
    <w:p w14:paraId="2A957A5F" w14:textId="77777777" w:rsidR="00852AF6" w:rsidRPr="00852AF6" w:rsidRDefault="00852AF6" w:rsidP="00852AF6">
      <w:r w:rsidRPr="00852AF6">
        <w:t>Early withdrawal may be subject to:</w:t>
      </w:r>
    </w:p>
    <w:p w14:paraId="438468A7" w14:textId="77777777" w:rsidR="00852AF6" w:rsidRPr="00852AF6" w:rsidRDefault="00852AF6" w:rsidP="00852AF6">
      <w:pPr>
        <w:numPr>
          <w:ilvl w:val="0"/>
          <w:numId w:val="25"/>
        </w:numPr>
      </w:pPr>
      <w:r w:rsidRPr="00852AF6">
        <w:t xml:space="preserve">Reduction of unpaid bonus rewards </w:t>
      </w:r>
    </w:p>
    <w:p w14:paraId="49AF95D9" w14:textId="77777777" w:rsidR="00852AF6" w:rsidRPr="00852AF6" w:rsidRDefault="00852AF6" w:rsidP="00852AF6">
      <w:pPr>
        <w:numPr>
          <w:ilvl w:val="0"/>
          <w:numId w:val="25"/>
        </w:numPr>
      </w:pPr>
      <w:r w:rsidRPr="00852AF6">
        <w:t xml:space="preserve">Return of previously distributed bonus incentives </w:t>
      </w:r>
    </w:p>
    <w:p w14:paraId="70149519" w14:textId="77777777" w:rsidR="00852AF6" w:rsidRPr="00852AF6" w:rsidRDefault="00852AF6" w:rsidP="00852AF6">
      <w:pPr>
        <w:numPr>
          <w:ilvl w:val="0"/>
          <w:numId w:val="25"/>
        </w:numPr>
      </w:pPr>
      <w:r w:rsidRPr="00852AF6">
        <w:t xml:space="preserve">Redemption queue processing </w:t>
      </w:r>
    </w:p>
    <w:p w14:paraId="60A8D62B" w14:textId="77777777" w:rsidR="00852AF6" w:rsidRPr="00852AF6" w:rsidRDefault="00852AF6" w:rsidP="00852AF6">
      <w:pPr>
        <w:numPr>
          <w:ilvl w:val="0"/>
          <w:numId w:val="25"/>
        </w:numPr>
      </w:pPr>
      <w:r w:rsidRPr="00852AF6">
        <w:t xml:space="preserve">Liquidity availability </w:t>
      </w:r>
    </w:p>
    <w:p w14:paraId="482D13A6" w14:textId="77777777" w:rsidR="00852AF6" w:rsidRPr="00852AF6" w:rsidRDefault="00852AF6" w:rsidP="00852AF6">
      <w:pPr>
        <w:numPr>
          <w:ilvl w:val="0"/>
          <w:numId w:val="25"/>
        </w:numPr>
      </w:pPr>
      <w:r w:rsidRPr="00852AF6">
        <w:t xml:space="preserve">Treasury coverage ratio </w:t>
      </w:r>
    </w:p>
    <w:p w14:paraId="0457B3F4" w14:textId="77777777" w:rsidR="00852AF6" w:rsidRPr="00852AF6" w:rsidRDefault="00852AF6" w:rsidP="00852AF6">
      <w:pPr>
        <w:numPr>
          <w:ilvl w:val="0"/>
          <w:numId w:val="25"/>
        </w:numPr>
      </w:pPr>
      <w:r w:rsidRPr="00852AF6">
        <w:t xml:space="preserve">Circuit breaker controls </w:t>
      </w:r>
    </w:p>
    <w:p w14:paraId="339F59A7" w14:textId="77777777" w:rsidR="00852AF6" w:rsidRPr="00852AF6" w:rsidRDefault="00852AF6" w:rsidP="00852AF6">
      <w:r w:rsidRPr="00852AF6">
        <w:t xml:space="preserve">The protocol may be designed to reduce principal impairment risk, but it should not represent this as an unconditional principal guarantee unless supported by a legally enforceable </w:t>
      </w:r>
      <w:proofErr w:type="gramStart"/>
      <w:r w:rsidRPr="00852AF6">
        <w:t>guarantee</w:t>
      </w:r>
      <w:proofErr w:type="gramEnd"/>
      <w:r w:rsidRPr="00852AF6">
        <w:t xml:space="preserve"> structure.</w:t>
      </w:r>
    </w:p>
    <w:p w14:paraId="033F367C" w14:textId="77777777" w:rsidR="00852AF6" w:rsidRPr="00852AF6" w:rsidRDefault="00852AF6" w:rsidP="00852AF6">
      <w:r w:rsidRPr="00852AF6">
        <w:pict w14:anchorId="5F399713">
          <v:rect id="_x0000_i1182" style="width:0;height:1.5pt" o:hralign="center" o:hrstd="t" o:hr="t" fillcolor="#a0a0a0" stroked="f"/>
        </w:pict>
      </w:r>
    </w:p>
    <w:p w14:paraId="2B19EC38" w14:textId="77777777" w:rsidR="00852AF6" w:rsidRPr="00852AF6" w:rsidRDefault="00852AF6" w:rsidP="00852AF6">
      <w:pPr>
        <w:rPr>
          <w:b/>
          <w:bCs/>
        </w:rPr>
      </w:pPr>
      <w:r w:rsidRPr="00852AF6">
        <w:rPr>
          <w:b/>
          <w:bCs/>
        </w:rPr>
        <w:t>13. Business Model</w:t>
      </w:r>
    </w:p>
    <w:p w14:paraId="1C87EA87" w14:textId="77777777" w:rsidR="00852AF6" w:rsidRPr="00852AF6" w:rsidRDefault="00852AF6" w:rsidP="00852AF6">
      <w:r w:rsidRPr="00852AF6">
        <w:t>Project S is supported by real-world energy revenue and protocol-level digital revenue.</w:t>
      </w:r>
    </w:p>
    <w:p w14:paraId="253D00C8" w14:textId="77777777" w:rsidR="00852AF6" w:rsidRPr="00852AF6" w:rsidRDefault="00852AF6" w:rsidP="00852AF6">
      <w:pPr>
        <w:rPr>
          <w:b/>
          <w:bCs/>
        </w:rPr>
      </w:pPr>
      <w:r w:rsidRPr="00852AF6">
        <w:rPr>
          <w:b/>
          <w:bCs/>
        </w:rPr>
        <w:t>13.1 Revenue Streams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39"/>
        <w:gridCol w:w="5429"/>
      </w:tblGrid>
      <w:tr w:rsidR="00852AF6" w:rsidRPr="00852AF6" w14:paraId="7194D232" w14:textId="77777777">
        <w:trPr>
          <w:tblHeader/>
          <w:tblCellSpacing w:w="15" w:type="dxa"/>
        </w:trPr>
        <w:tc>
          <w:tcPr>
            <w:tcW w:w="0" w:type="auto"/>
            <w:vAlign w:val="center"/>
            <w:hideMark/>
          </w:tcPr>
          <w:p w14:paraId="3053B3ED" w14:textId="77777777" w:rsidR="00852AF6" w:rsidRPr="00852AF6" w:rsidRDefault="00852AF6" w:rsidP="00852AF6">
            <w:pPr>
              <w:rPr>
                <w:b/>
                <w:bCs/>
              </w:rPr>
            </w:pPr>
            <w:r w:rsidRPr="00852AF6">
              <w:rPr>
                <w:b/>
                <w:bCs/>
              </w:rPr>
              <w:t>Revenue Source</w:t>
            </w:r>
          </w:p>
        </w:tc>
        <w:tc>
          <w:tcPr>
            <w:tcW w:w="0" w:type="auto"/>
            <w:vAlign w:val="center"/>
            <w:hideMark/>
          </w:tcPr>
          <w:p w14:paraId="162A5894" w14:textId="77777777" w:rsidR="00852AF6" w:rsidRPr="00852AF6" w:rsidRDefault="00852AF6" w:rsidP="00852AF6">
            <w:pPr>
              <w:rPr>
                <w:b/>
                <w:bCs/>
              </w:rPr>
            </w:pPr>
            <w:r w:rsidRPr="00852AF6">
              <w:rPr>
                <w:b/>
                <w:bCs/>
              </w:rPr>
              <w:t>Description</w:t>
            </w:r>
          </w:p>
        </w:tc>
      </w:tr>
      <w:tr w:rsidR="00852AF6" w:rsidRPr="00852AF6" w14:paraId="17E276D4" w14:textId="77777777">
        <w:trPr>
          <w:tblCellSpacing w:w="15" w:type="dxa"/>
        </w:trPr>
        <w:tc>
          <w:tcPr>
            <w:tcW w:w="0" w:type="auto"/>
            <w:vAlign w:val="center"/>
            <w:hideMark/>
          </w:tcPr>
          <w:p w14:paraId="7550BD59" w14:textId="77777777" w:rsidR="00852AF6" w:rsidRPr="00852AF6" w:rsidRDefault="00852AF6" w:rsidP="00852AF6">
            <w:r w:rsidRPr="00852AF6">
              <w:t>SMP Revenue</w:t>
            </w:r>
          </w:p>
        </w:tc>
        <w:tc>
          <w:tcPr>
            <w:tcW w:w="0" w:type="auto"/>
            <w:vAlign w:val="center"/>
            <w:hideMark/>
          </w:tcPr>
          <w:p w14:paraId="357D02D5" w14:textId="77777777" w:rsidR="00852AF6" w:rsidRPr="00852AF6" w:rsidRDefault="00852AF6" w:rsidP="00852AF6">
            <w:r w:rsidRPr="00852AF6">
              <w:t>Wholesale electricity market sales</w:t>
            </w:r>
          </w:p>
        </w:tc>
      </w:tr>
      <w:tr w:rsidR="00852AF6" w:rsidRPr="00852AF6" w14:paraId="4AC260FC" w14:textId="77777777">
        <w:trPr>
          <w:tblCellSpacing w:w="15" w:type="dxa"/>
        </w:trPr>
        <w:tc>
          <w:tcPr>
            <w:tcW w:w="0" w:type="auto"/>
            <w:vAlign w:val="center"/>
            <w:hideMark/>
          </w:tcPr>
          <w:p w14:paraId="65F56780" w14:textId="77777777" w:rsidR="00852AF6" w:rsidRPr="00852AF6" w:rsidRDefault="00852AF6" w:rsidP="00852AF6">
            <w:r w:rsidRPr="00852AF6">
              <w:t>REC Revenue</w:t>
            </w:r>
          </w:p>
        </w:tc>
        <w:tc>
          <w:tcPr>
            <w:tcW w:w="0" w:type="auto"/>
            <w:vAlign w:val="center"/>
            <w:hideMark/>
          </w:tcPr>
          <w:p w14:paraId="12907417" w14:textId="77777777" w:rsidR="00852AF6" w:rsidRPr="00852AF6" w:rsidRDefault="00852AF6" w:rsidP="00852AF6">
            <w:r w:rsidRPr="00852AF6">
              <w:t>Renewable Energy Certificate sales</w:t>
            </w:r>
          </w:p>
        </w:tc>
      </w:tr>
      <w:tr w:rsidR="00852AF6" w:rsidRPr="00852AF6" w14:paraId="6752E36A" w14:textId="77777777">
        <w:trPr>
          <w:tblCellSpacing w:w="15" w:type="dxa"/>
        </w:trPr>
        <w:tc>
          <w:tcPr>
            <w:tcW w:w="0" w:type="auto"/>
            <w:vAlign w:val="center"/>
            <w:hideMark/>
          </w:tcPr>
          <w:p w14:paraId="1E0F7A17" w14:textId="77777777" w:rsidR="00852AF6" w:rsidRPr="00852AF6" w:rsidRDefault="00852AF6" w:rsidP="00852AF6">
            <w:r w:rsidRPr="00852AF6">
              <w:t>PPA Revenue</w:t>
            </w:r>
          </w:p>
        </w:tc>
        <w:tc>
          <w:tcPr>
            <w:tcW w:w="0" w:type="auto"/>
            <w:vAlign w:val="center"/>
            <w:hideMark/>
          </w:tcPr>
          <w:p w14:paraId="52CB9654" w14:textId="77777777" w:rsidR="00852AF6" w:rsidRPr="00852AF6" w:rsidRDefault="00852AF6" w:rsidP="00852AF6">
            <w:r w:rsidRPr="00852AF6">
              <w:t>Corporate power purchase agreements</w:t>
            </w:r>
          </w:p>
        </w:tc>
      </w:tr>
      <w:tr w:rsidR="00852AF6" w:rsidRPr="00852AF6" w14:paraId="7C7E3DD8" w14:textId="77777777">
        <w:trPr>
          <w:tblCellSpacing w:w="15" w:type="dxa"/>
        </w:trPr>
        <w:tc>
          <w:tcPr>
            <w:tcW w:w="0" w:type="auto"/>
            <w:vAlign w:val="center"/>
            <w:hideMark/>
          </w:tcPr>
          <w:p w14:paraId="71EB3D9C" w14:textId="77777777" w:rsidR="00852AF6" w:rsidRPr="00852AF6" w:rsidRDefault="00852AF6" w:rsidP="00852AF6">
            <w:r w:rsidRPr="00852AF6">
              <w:t>EV Charging Revenue</w:t>
            </w:r>
          </w:p>
        </w:tc>
        <w:tc>
          <w:tcPr>
            <w:tcW w:w="0" w:type="auto"/>
            <w:vAlign w:val="center"/>
            <w:hideMark/>
          </w:tcPr>
          <w:p w14:paraId="68A77D49" w14:textId="77777777" w:rsidR="00852AF6" w:rsidRPr="00852AF6" w:rsidRDefault="00852AF6" w:rsidP="00852AF6">
            <w:r w:rsidRPr="00852AF6">
              <w:t>Charging payments and partner settlement</w:t>
            </w:r>
          </w:p>
        </w:tc>
      </w:tr>
      <w:tr w:rsidR="00852AF6" w:rsidRPr="00852AF6" w14:paraId="4F59B886" w14:textId="77777777">
        <w:trPr>
          <w:tblCellSpacing w:w="15" w:type="dxa"/>
        </w:trPr>
        <w:tc>
          <w:tcPr>
            <w:tcW w:w="0" w:type="auto"/>
            <w:vAlign w:val="center"/>
            <w:hideMark/>
          </w:tcPr>
          <w:p w14:paraId="12178FFE" w14:textId="77777777" w:rsidR="00852AF6" w:rsidRPr="00852AF6" w:rsidRDefault="00852AF6" w:rsidP="00852AF6">
            <w:r w:rsidRPr="00852AF6">
              <w:t>Swap Fees</w:t>
            </w:r>
          </w:p>
        </w:tc>
        <w:tc>
          <w:tcPr>
            <w:tcW w:w="0" w:type="auto"/>
            <w:vAlign w:val="center"/>
            <w:hideMark/>
          </w:tcPr>
          <w:p w14:paraId="2CFBB4F4" w14:textId="77777777" w:rsidR="00852AF6" w:rsidRPr="00852AF6" w:rsidRDefault="00852AF6" w:rsidP="00852AF6">
            <w:r w:rsidRPr="00852AF6">
              <w:t>SLC-SPC conversion fees</w:t>
            </w:r>
          </w:p>
        </w:tc>
      </w:tr>
      <w:tr w:rsidR="00852AF6" w:rsidRPr="00852AF6" w14:paraId="39479098" w14:textId="77777777">
        <w:trPr>
          <w:tblCellSpacing w:w="15" w:type="dxa"/>
        </w:trPr>
        <w:tc>
          <w:tcPr>
            <w:tcW w:w="0" w:type="auto"/>
            <w:vAlign w:val="center"/>
            <w:hideMark/>
          </w:tcPr>
          <w:p w14:paraId="4008DC40" w14:textId="77777777" w:rsidR="00852AF6" w:rsidRPr="00852AF6" w:rsidRDefault="00852AF6" w:rsidP="00852AF6">
            <w:r w:rsidRPr="00852AF6">
              <w:t>Wallet Fees</w:t>
            </w:r>
          </w:p>
        </w:tc>
        <w:tc>
          <w:tcPr>
            <w:tcW w:w="0" w:type="auto"/>
            <w:vAlign w:val="center"/>
            <w:hideMark/>
          </w:tcPr>
          <w:p w14:paraId="2EF6487C" w14:textId="77777777" w:rsidR="00852AF6" w:rsidRPr="00852AF6" w:rsidRDefault="00852AF6" w:rsidP="00852AF6">
            <w:proofErr w:type="spellStart"/>
            <w:r w:rsidRPr="00852AF6">
              <w:t>Supervizion</w:t>
            </w:r>
            <w:proofErr w:type="spellEnd"/>
            <w:r w:rsidRPr="00852AF6">
              <w:t xml:space="preserve"> Wallet premium services</w:t>
            </w:r>
          </w:p>
        </w:tc>
      </w:tr>
      <w:tr w:rsidR="00852AF6" w:rsidRPr="00852AF6" w14:paraId="4E833500" w14:textId="77777777">
        <w:trPr>
          <w:tblCellSpacing w:w="15" w:type="dxa"/>
        </w:trPr>
        <w:tc>
          <w:tcPr>
            <w:tcW w:w="0" w:type="auto"/>
            <w:vAlign w:val="center"/>
            <w:hideMark/>
          </w:tcPr>
          <w:p w14:paraId="0982DF01" w14:textId="77777777" w:rsidR="00852AF6" w:rsidRPr="00852AF6" w:rsidRDefault="00852AF6" w:rsidP="00852AF6">
            <w:r w:rsidRPr="00852AF6">
              <w:t>DeFi Fees</w:t>
            </w:r>
          </w:p>
        </w:tc>
        <w:tc>
          <w:tcPr>
            <w:tcW w:w="0" w:type="auto"/>
            <w:vAlign w:val="center"/>
            <w:hideMark/>
          </w:tcPr>
          <w:p w14:paraId="7CB1DD49" w14:textId="77777777" w:rsidR="00852AF6" w:rsidRPr="00852AF6" w:rsidRDefault="00852AF6" w:rsidP="00852AF6">
            <w:r w:rsidRPr="00852AF6">
              <w:t>DEX, bridge, liquidity, and staking fees</w:t>
            </w:r>
          </w:p>
        </w:tc>
      </w:tr>
      <w:tr w:rsidR="00852AF6" w:rsidRPr="00852AF6" w14:paraId="53892770" w14:textId="77777777">
        <w:trPr>
          <w:tblCellSpacing w:w="15" w:type="dxa"/>
        </w:trPr>
        <w:tc>
          <w:tcPr>
            <w:tcW w:w="0" w:type="auto"/>
            <w:vAlign w:val="center"/>
            <w:hideMark/>
          </w:tcPr>
          <w:p w14:paraId="1A952807" w14:textId="77777777" w:rsidR="00852AF6" w:rsidRPr="00852AF6" w:rsidRDefault="00852AF6" w:rsidP="00852AF6">
            <w:r w:rsidRPr="00852AF6">
              <w:t>Energy Data Revenue</w:t>
            </w:r>
          </w:p>
        </w:tc>
        <w:tc>
          <w:tcPr>
            <w:tcW w:w="0" w:type="auto"/>
            <w:vAlign w:val="center"/>
            <w:hideMark/>
          </w:tcPr>
          <w:p w14:paraId="672D6504" w14:textId="77777777" w:rsidR="00852AF6" w:rsidRPr="00852AF6" w:rsidRDefault="00852AF6" w:rsidP="00852AF6">
            <w:r w:rsidRPr="00852AF6">
              <w:t>API or dashboard access to energy data</w:t>
            </w:r>
          </w:p>
        </w:tc>
      </w:tr>
      <w:tr w:rsidR="00852AF6" w:rsidRPr="00852AF6" w14:paraId="148BB196" w14:textId="77777777">
        <w:trPr>
          <w:tblCellSpacing w:w="15" w:type="dxa"/>
        </w:trPr>
        <w:tc>
          <w:tcPr>
            <w:tcW w:w="0" w:type="auto"/>
            <w:vAlign w:val="center"/>
            <w:hideMark/>
          </w:tcPr>
          <w:p w14:paraId="4FBADD7C" w14:textId="77777777" w:rsidR="00852AF6" w:rsidRPr="00852AF6" w:rsidRDefault="00852AF6" w:rsidP="00852AF6">
            <w:r w:rsidRPr="00852AF6">
              <w:t>Carbon/REC Data Revenue</w:t>
            </w:r>
          </w:p>
        </w:tc>
        <w:tc>
          <w:tcPr>
            <w:tcW w:w="0" w:type="auto"/>
            <w:vAlign w:val="center"/>
            <w:hideMark/>
          </w:tcPr>
          <w:p w14:paraId="4ECFCA2B" w14:textId="77777777" w:rsidR="00852AF6" w:rsidRPr="00852AF6" w:rsidRDefault="00852AF6" w:rsidP="00852AF6">
            <w:r w:rsidRPr="00852AF6">
              <w:t>Future carbon and renewable certificate data services</w:t>
            </w:r>
          </w:p>
        </w:tc>
      </w:tr>
    </w:tbl>
    <w:p w14:paraId="4E28726D" w14:textId="77777777" w:rsidR="00852AF6" w:rsidRPr="00852AF6" w:rsidRDefault="00852AF6" w:rsidP="00852AF6">
      <w:pPr>
        <w:rPr>
          <w:b/>
          <w:bCs/>
        </w:rPr>
      </w:pPr>
      <w:r w:rsidRPr="00852AF6">
        <w:rPr>
          <w:b/>
          <w:bCs/>
        </w:rPr>
        <w:t>13.2 Buyback and Burn</w:t>
      </w:r>
    </w:p>
    <w:p w14:paraId="00BA9C83" w14:textId="77777777" w:rsidR="00852AF6" w:rsidRPr="00852AF6" w:rsidRDefault="00852AF6" w:rsidP="00852AF6">
      <w:r w:rsidRPr="00852AF6">
        <w:t>A portion of Net Distributable Energy Cash Flow may be allocated to SLC buybacks.</w:t>
      </w:r>
    </w:p>
    <w:p w14:paraId="12130A0F" w14:textId="115A8FDA" w:rsidR="00852AF6" w:rsidRPr="00852AF6" w:rsidRDefault="00852AF6" w:rsidP="00852AF6">
      <m:oMathPara>
        <m:oMath>
          <m:r>
            <w:rPr>
              <w:rFonts w:ascii="Cambria Math" w:hAnsi="Cambria Math"/>
            </w:rPr>
            <m:t>Buybac</m:t>
          </m:r>
          <m:sSub>
            <m:sSubPr>
              <m:ctrlPr>
                <w:rPr>
                  <w:rFonts w:ascii="Cambria Math" w:hAnsi="Cambria Math"/>
                </w:rPr>
              </m:ctrlPr>
            </m:sSubPr>
            <m:e>
              <m:r>
                <w:rPr>
                  <w:rFonts w:ascii="Cambria Math" w:hAnsi="Cambria Math"/>
                </w:rPr>
                <m:t>k</m:t>
              </m:r>
            </m:e>
            <m:sub>
              <m:r>
                <w:rPr>
                  <w:rFonts w:ascii="Cambria Math" w:hAnsi="Cambria Math"/>
                </w:rPr>
                <m:t>t</m:t>
              </m:r>
            </m:sub>
          </m:sSub>
          <m:r>
            <w:rPr>
              <w:rFonts w:ascii="Cambria Math" w:hAnsi="Cambria Math"/>
            </w:rPr>
            <m:t>=α×NDEC</m:t>
          </m:r>
          <m:sSub>
            <m:sSubPr>
              <m:ctrlPr>
                <w:rPr>
                  <w:rFonts w:ascii="Cambria Math" w:hAnsi="Cambria Math"/>
                </w:rPr>
              </m:ctrlPr>
            </m:sSubPr>
            <m:e>
              <m:r>
                <w:rPr>
                  <w:rFonts w:ascii="Cambria Math" w:hAnsi="Cambria Math"/>
                </w:rPr>
                <m:t>F</m:t>
              </m:r>
            </m:e>
            <m:sub>
              <m:r>
                <w:rPr>
                  <w:rFonts w:ascii="Cambria Math" w:hAnsi="Cambria Math"/>
                </w:rPr>
                <m:t>t</m:t>
              </m:r>
            </m:sub>
          </m:sSub>
          <m:r>
            <w:br/>
          </m:r>
        </m:oMath>
      </m:oMathPara>
    </w:p>
    <w:p w14:paraId="7F75AB53" w14:textId="77777777" w:rsidR="00852AF6" w:rsidRPr="00852AF6" w:rsidRDefault="00852AF6" w:rsidP="00852AF6">
      <w:r w:rsidRPr="00852AF6">
        <w:t>Where:</w:t>
      </w:r>
    </w:p>
    <w:p w14:paraId="603A9E9A" w14:textId="77777777" w:rsidR="00852AF6" w:rsidRPr="00852AF6" w:rsidRDefault="00852AF6" w:rsidP="00852AF6">
      <w:pPr>
        <w:numPr>
          <w:ilvl w:val="0"/>
          <w:numId w:val="26"/>
        </w:numPr>
      </w:pPr>
      <w:r w:rsidRPr="00852AF6">
        <w:rPr>
          <w:b/>
          <w:bCs/>
        </w:rPr>
        <w:t>α</w:t>
      </w:r>
      <w:r w:rsidRPr="00852AF6">
        <w:t xml:space="preserve"> = Buyback allocation ratio </w:t>
      </w:r>
    </w:p>
    <w:p w14:paraId="43E35D86" w14:textId="77777777" w:rsidR="00852AF6" w:rsidRPr="00852AF6" w:rsidRDefault="00852AF6" w:rsidP="00852AF6">
      <w:pPr>
        <w:numPr>
          <w:ilvl w:val="0"/>
          <w:numId w:val="26"/>
        </w:numPr>
      </w:pPr>
      <w:r w:rsidRPr="00852AF6">
        <w:rPr>
          <w:b/>
          <w:bCs/>
        </w:rPr>
        <w:t>NDECF</w:t>
      </w:r>
      <w:r w:rsidRPr="00852AF6">
        <w:t xml:space="preserve"> = Net Distributable Energy Cash Flow </w:t>
      </w:r>
    </w:p>
    <w:p w14:paraId="0487C6E2" w14:textId="77777777" w:rsidR="00852AF6" w:rsidRPr="00852AF6" w:rsidRDefault="00852AF6" w:rsidP="00852AF6">
      <w:r w:rsidRPr="00852AF6">
        <w:t>The buyback ratio should be dynamic and based on treasury health.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68"/>
        <w:gridCol w:w="4632"/>
      </w:tblGrid>
      <w:tr w:rsidR="00852AF6" w:rsidRPr="00852AF6" w14:paraId="16EEF2C5" w14:textId="77777777">
        <w:trPr>
          <w:tblHeader/>
          <w:tblCellSpacing w:w="15" w:type="dxa"/>
        </w:trPr>
        <w:tc>
          <w:tcPr>
            <w:tcW w:w="0" w:type="auto"/>
            <w:vAlign w:val="center"/>
            <w:hideMark/>
          </w:tcPr>
          <w:p w14:paraId="67E58079" w14:textId="77777777" w:rsidR="00852AF6" w:rsidRPr="00852AF6" w:rsidRDefault="00852AF6" w:rsidP="00852AF6">
            <w:pPr>
              <w:rPr>
                <w:b/>
                <w:bCs/>
              </w:rPr>
            </w:pPr>
            <w:r w:rsidRPr="00852AF6">
              <w:rPr>
                <w:b/>
                <w:bCs/>
              </w:rPr>
              <w:t>Reserve Coverage Ratio</w:t>
            </w:r>
          </w:p>
        </w:tc>
        <w:tc>
          <w:tcPr>
            <w:tcW w:w="0" w:type="auto"/>
            <w:vAlign w:val="center"/>
            <w:hideMark/>
          </w:tcPr>
          <w:p w14:paraId="6A7EA0E2" w14:textId="77777777" w:rsidR="00852AF6" w:rsidRPr="00852AF6" w:rsidRDefault="00852AF6" w:rsidP="00852AF6">
            <w:pPr>
              <w:rPr>
                <w:b/>
                <w:bCs/>
              </w:rPr>
            </w:pPr>
            <w:r w:rsidRPr="00852AF6">
              <w:rPr>
                <w:b/>
                <w:bCs/>
              </w:rPr>
              <w:t>Policy</w:t>
            </w:r>
          </w:p>
        </w:tc>
      </w:tr>
      <w:tr w:rsidR="00852AF6" w:rsidRPr="00852AF6" w14:paraId="45E6E3E6" w14:textId="77777777">
        <w:trPr>
          <w:tblCellSpacing w:w="15" w:type="dxa"/>
        </w:trPr>
        <w:tc>
          <w:tcPr>
            <w:tcW w:w="0" w:type="auto"/>
            <w:vAlign w:val="center"/>
            <w:hideMark/>
          </w:tcPr>
          <w:p w14:paraId="67E41BEC" w14:textId="77777777" w:rsidR="00852AF6" w:rsidRPr="00852AF6" w:rsidRDefault="00852AF6" w:rsidP="00852AF6">
            <w:r w:rsidRPr="00852AF6">
              <w:t>Above 150%</w:t>
            </w:r>
          </w:p>
        </w:tc>
        <w:tc>
          <w:tcPr>
            <w:tcW w:w="0" w:type="auto"/>
            <w:vAlign w:val="center"/>
            <w:hideMark/>
          </w:tcPr>
          <w:p w14:paraId="35101AF4" w14:textId="77777777" w:rsidR="00852AF6" w:rsidRPr="00852AF6" w:rsidRDefault="00852AF6" w:rsidP="00852AF6">
            <w:r w:rsidRPr="00852AF6">
              <w:t>Normal buyback and burn</w:t>
            </w:r>
          </w:p>
        </w:tc>
      </w:tr>
      <w:tr w:rsidR="00852AF6" w:rsidRPr="00852AF6" w14:paraId="53D3A613" w14:textId="77777777">
        <w:trPr>
          <w:tblCellSpacing w:w="15" w:type="dxa"/>
        </w:trPr>
        <w:tc>
          <w:tcPr>
            <w:tcW w:w="0" w:type="auto"/>
            <w:vAlign w:val="center"/>
            <w:hideMark/>
          </w:tcPr>
          <w:p w14:paraId="45C1BF8D" w14:textId="77777777" w:rsidR="00852AF6" w:rsidRPr="00852AF6" w:rsidRDefault="00852AF6" w:rsidP="00852AF6">
            <w:r w:rsidRPr="00852AF6">
              <w:t>120%–150%</w:t>
            </w:r>
          </w:p>
        </w:tc>
        <w:tc>
          <w:tcPr>
            <w:tcW w:w="0" w:type="auto"/>
            <w:vAlign w:val="center"/>
            <w:hideMark/>
          </w:tcPr>
          <w:p w14:paraId="34DE6BA0" w14:textId="77777777" w:rsidR="00852AF6" w:rsidRPr="00852AF6" w:rsidRDefault="00852AF6" w:rsidP="00852AF6">
            <w:r w:rsidRPr="00852AF6">
              <w:t>Partial buyback, reserve priority</w:t>
            </w:r>
          </w:p>
        </w:tc>
      </w:tr>
      <w:tr w:rsidR="00852AF6" w:rsidRPr="00852AF6" w14:paraId="3B6FCFA0" w14:textId="77777777">
        <w:trPr>
          <w:tblCellSpacing w:w="15" w:type="dxa"/>
        </w:trPr>
        <w:tc>
          <w:tcPr>
            <w:tcW w:w="0" w:type="auto"/>
            <w:vAlign w:val="center"/>
            <w:hideMark/>
          </w:tcPr>
          <w:p w14:paraId="799715A5" w14:textId="77777777" w:rsidR="00852AF6" w:rsidRPr="00852AF6" w:rsidRDefault="00852AF6" w:rsidP="00852AF6">
            <w:r w:rsidRPr="00852AF6">
              <w:t>100%–120%</w:t>
            </w:r>
          </w:p>
        </w:tc>
        <w:tc>
          <w:tcPr>
            <w:tcW w:w="0" w:type="auto"/>
            <w:vAlign w:val="center"/>
            <w:hideMark/>
          </w:tcPr>
          <w:p w14:paraId="3426469D" w14:textId="77777777" w:rsidR="00852AF6" w:rsidRPr="00852AF6" w:rsidRDefault="00852AF6" w:rsidP="00852AF6">
            <w:r w:rsidRPr="00852AF6">
              <w:t>Buyback restricted</w:t>
            </w:r>
          </w:p>
        </w:tc>
      </w:tr>
      <w:tr w:rsidR="00852AF6" w:rsidRPr="00852AF6" w14:paraId="7C966800" w14:textId="77777777">
        <w:trPr>
          <w:tblCellSpacing w:w="15" w:type="dxa"/>
        </w:trPr>
        <w:tc>
          <w:tcPr>
            <w:tcW w:w="0" w:type="auto"/>
            <w:vAlign w:val="center"/>
            <w:hideMark/>
          </w:tcPr>
          <w:p w14:paraId="4B7CF7C1" w14:textId="77777777" w:rsidR="00852AF6" w:rsidRPr="00852AF6" w:rsidRDefault="00852AF6" w:rsidP="00852AF6">
            <w:r w:rsidRPr="00852AF6">
              <w:t>Below 100%</w:t>
            </w:r>
          </w:p>
        </w:tc>
        <w:tc>
          <w:tcPr>
            <w:tcW w:w="0" w:type="auto"/>
            <w:vAlign w:val="center"/>
            <w:hideMark/>
          </w:tcPr>
          <w:p w14:paraId="14397DA9" w14:textId="77777777" w:rsidR="00852AF6" w:rsidRPr="00852AF6" w:rsidRDefault="00852AF6" w:rsidP="00852AF6">
            <w:r w:rsidRPr="00852AF6">
              <w:t>Buyback suspended, reserve rebuilding mode</w:t>
            </w:r>
          </w:p>
        </w:tc>
      </w:tr>
    </w:tbl>
    <w:p w14:paraId="3120BD44" w14:textId="77777777" w:rsidR="00852AF6" w:rsidRPr="00852AF6" w:rsidRDefault="00852AF6" w:rsidP="00852AF6">
      <w:pPr>
        <w:rPr>
          <w:b/>
          <w:bCs/>
        </w:rPr>
      </w:pPr>
      <w:r w:rsidRPr="00852AF6">
        <w:rPr>
          <w:b/>
          <w:bCs/>
        </w:rPr>
        <w:t>13.3 EV Charging Utility</w:t>
      </w:r>
    </w:p>
    <w:p w14:paraId="50099785" w14:textId="77777777" w:rsidR="00852AF6" w:rsidRPr="00852AF6" w:rsidRDefault="00852AF6" w:rsidP="00852AF6">
      <w:r w:rsidRPr="00852AF6">
        <w:t>SPC can serve as a payment and discount utility for EV charging partners.</w:t>
      </w:r>
    </w:p>
    <w:p w14:paraId="1B069D8A" w14:textId="77777777" w:rsidR="00852AF6" w:rsidRPr="00852AF6" w:rsidRDefault="00852AF6" w:rsidP="00852AF6">
      <w:r w:rsidRPr="00852AF6">
        <w:t>Potential benefits:</w:t>
      </w:r>
    </w:p>
    <w:p w14:paraId="67D670E7" w14:textId="77777777" w:rsidR="00852AF6" w:rsidRPr="00852AF6" w:rsidRDefault="00852AF6" w:rsidP="00852AF6">
      <w:pPr>
        <w:numPr>
          <w:ilvl w:val="0"/>
          <w:numId w:val="27"/>
        </w:numPr>
      </w:pPr>
      <w:r w:rsidRPr="00852AF6">
        <w:t xml:space="preserve">SPC-based charging payment </w:t>
      </w:r>
    </w:p>
    <w:p w14:paraId="28B6297B" w14:textId="77777777" w:rsidR="00852AF6" w:rsidRPr="00852AF6" w:rsidRDefault="00852AF6" w:rsidP="00852AF6">
      <w:pPr>
        <w:numPr>
          <w:ilvl w:val="0"/>
          <w:numId w:val="27"/>
        </w:numPr>
      </w:pPr>
      <w:r w:rsidRPr="00852AF6">
        <w:t xml:space="preserve">Discounted charging fee </w:t>
      </w:r>
    </w:p>
    <w:p w14:paraId="6F622C2C" w14:textId="77777777" w:rsidR="00852AF6" w:rsidRPr="00852AF6" w:rsidRDefault="00852AF6" w:rsidP="00852AF6">
      <w:pPr>
        <w:numPr>
          <w:ilvl w:val="0"/>
          <w:numId w:val="27"/>
        </w:numPr>
      </w:pPr>
      <w:r w:rsidRPr="00852AF6">
        <w:t xml:space="preserve">Loyalty rewards </w:t>
      </w:r>
    </w:p>
    <w:p w14:paraId="244581AE" w14:textId="77777777" w:rsidR="00852AF6" w:rsidRPr="00852AF6" w:rsidRDefault="00852AF6" w:rsidP="00852AF6">
      <w:pPr>
        <w:numPr>
          <w:ilvl w:val="0"/>
          <w:numId w:val="27"/>
        </w:numPr>
      </w:pPr>
      <w:r w:rsidRPr="00852AF6">
        <w:t xml:space="preserve">SLC cashback </w:t>
      </w:r>
    </w:p>
    <w:p w14:paraId="198CC70E" w14:textId="77777777" w:rsidR="00852AF6" w:rsidRPr="00852AF6" w:rsidRDefault="00852AF6" w:rsidP="00852AF6">
      <w:pPr>
        <w:numPr>
          <w:ilvl w:val="0"/>
          <w:numId w:val="27"/>
        </w:numPr>
      </w:pPr>
      <w:r w:rsidRPr="00852AF6">
        <w:t xml:space="preserve">Charging data converted into Proof of Utility </w:t>
      </w:r>
    </w:p>
    <w:p w14:paraId="48BD2B91" w14:textId="77777777" w:rsidR="00852AF6" w:rsidRPr="00852AF6" w:rsidRDefault="00852AF6" w:rsidP="00852AF6">
      <w:pPr>
        <w:numPr>
          <w:ilvl w:val="0"/>
          <w:numId w:val="27"/>
        </w:numPr>
      </w:pPr>
      <w:r w:rsidRPr="00852AF6">
        <w:t xml:space="preserve">Regional partner expansion </w:t>
      </w:r>
    </w:p>
    <w:p w14:paraId="1C3D3E75" w14:textId="77777777" w:rsidR="00852AF6" w:rsidRPr="00852AF6" w:rsidRDefault="00852AF6" w:rsidP="00852AF6">
      <w:r w:rsidRPr="00852AF6">
        <w:t>Recommended wording:</w:t>
      </w:r>
    </w:p>
    <w:p w14:paraId="7491CDBE" w14:textId="77777777" w:rsidR="00852AF6" w:rsidRPr="00852AF6" w:rsidRDefault="00852AF6" w:rsidP="00852AF6">
      <w:r w:rsidRPr="00852AF6">
        <w:t xml:space="preserve">SPC holders may receive up to 20% charging benefits at </w:t>
      </w:r>
      <w:proofErr w:type="gramStart"/>
      <w:r w:rsidRPr="00852AF6">
        <w:t>participating</w:t>
      </w:r>
      <w:proofErr w:type="gramEnd"/>
      <w:r w:rsidRPr="00852AF6">
        <w:t xml:space="preserve"> EV charging partners, subject to partner availability, regional limits, monthly caps, treasury utility pool balance, and official campaign terms.</w:t>
      </w:r>
    </w:p>
    <w:p w14:paraId="188ED78E" w14:textId="77777777" w:rsidR="00852AF6" w:rsidRPr="00852AF6" w:rsidRDefault="00852AF6" w:rsidP="00852AF6">
      <w:r w:rsidRPr="00852AF6">
        <w:pict w14:anchorId="3F65AC9D">
          <v:rect id="_x0000_i1183" style="width:0;height:1.5pt" o:hralign="center" o:hrstd="t" o:hr="t" fillcolor="#a0a0a0" stroked="f"/>
        </w:pict>
      </w:r>
    </w:p>
    <w:p w14:paraId="3AF01ADC" w14:textId="77777777" w:rsidR="00852AF6" w:rsidRPr="00852AF6" w:rsidRDefault="00852AF6" w:rsidP="00852AF6">
      <w:pPr>
        <w:rPr>
          <w:b/>
          <w:bCs/>
        </w:rPr>
      </w:pPr>
      <w:r w:rsidRPr="00852AF6">
        <w:rPr>
          <w:b/>
          <w:bCs/>
        </w:rPr>
        <w:t xml:space="preserve">14. </w:t>
      </w:r>
      <w:proofErr w:type="spellStart"/>
      <w:r w:rsidRPr="00852AF6">
        <w:rPr>
          <w:b/>
          <w:bCs/>
        </w:rPr>
        <w:t>Tokenomics</w:t>
      </w:r>
      <w:proofErr w:type="spellEnd"/>
    </w:p>
    <w:p w14:paraId="28432D36" w14:textId="77777777" w:rsidR="00852AF6" w:rsidRPr="00852AF6" w:rsidRDefault="00852AF6" w:rsidP="00852AF6">
      <w:pPr>
        <w:rPr>
          <w:b/>
          <w:bCs/>
        </w:rPr>
      </w:pPr>
      <w:r w:rsidRPr="00852AF6">
        <w:rPr>
          <w:b/>
          <w:bCs/>
        </w:rPr>
        <w:t xml:space="preserve">14.1 SPC </w:t>
      </w:r>
      <w:proofErr w:type="spellStart"/>
      <w:r w:rsidRPr="00852AF6">
        <w:rPr>
          <w:b/>
          <w:bCs/>
        </w:rPr>
        <w:t>Tokenomics</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6"/>
        <w:gridCol w:w="7000"/>
      </w:tblGrid>
      <w:tr w:rsidR="00852AF6" w:rsidRPr="00852AF6" w14:paraId="496C9960" w14:textId="77777777">
        <w:trPr>
          <w:tblHeader/>
          <w:tblCellSpacing w:w="15" w:type="dxa"/>
        </w:trPr>
        <w:tc>
          <w:tcPr>
            <w:tcW w:w="0" w:type="auto"/>
            <w:vAlign w:val="center"/>
            <w:hideMark/>
          </w:tcPr>
          <w:p w14:paraId="342A2871" w14:textId="77777777" w:rsidR="00852AF6" w:rsidRPr="00852AF6" w:rsidRDefault="00852AF6" w:rsidP="00852AF6">
            <w:pPr>
              <w:rPr>
                <w:b/>
                <w:bCs/>
              </w:rPr>
            </w:pPr>
            <w:r w:rsidRPr="00852AF6">
              <w:rPr>
                <w:b/>
                <w:bCs/>
              </w:rPr>
              <w:t>Category</w:t>
            </w:r>
          </w:p>
        </w:tc>
        <w:tc>
          <w:tcPr>
            <w:tcW w:w="0" w:type="auto"/>
            <w:vAlign w:val="center"/>
            <w:hideMark/>
          </w:tcPr>
          <w:p w14:paraId="505E36E4" w14:textId="77777777" w:rsidR="00852AF6" w:rsidRPr="00852AF6" w:rsidRDefault="00852AF6" w:rsidP="00852AF6">
            <w:pPr>
              <w:rPr>
                <w:b/>
                <w:bCs/>
              </w:rPr>
            </w:pPr>
            <w:r w:rsidRPr="00852AF6">
              <w:rPr>
                <w:b/>
                <w:bCs/>
              </w:rPr>
              <w:t>Specification</w:t>
            </w:r>
          </w:p>
        </w:tc>
      </w:tr>
      <w:tr w:rsidR="00852AF6" w:rsidRPr="00852AF6" w14:paraId="225C27CD" w14:textId="77777777">
        <w:trPr>
          <w:tblCellSpacing w:w="15" w:type="dxa"/>
        </w:trPr>
        <w:tc>
          <w:tcPr>
            <w:tcW w:w="0" w:type="auto"/>
            <w:vAlign w:val="center"/>
            <w:hideMark/>
          </w:tcPr>
          <w:p w14:paraId="6644DBD4" w14:textId="77777777" w:rsidR="00852AF6" w:rsidRPr="00852AF6" w:rsidRDefault="00852AF6" w:rsidP="00852AF6">
            <w:r w:rsidRPr="00852AF6">
              <w:t>Token Name</w:t>
            </w:r>
          </w:p>
        </w:tc>
        <w:tc>
          <w:tcPr>
            <w:tcW w:w="0" w:type="auto"/>
            <w:vAlign w:val="center"/>
            <w:hideMark/>
          </w:tcPr>
          <w:p w14:paraId="7AB239B1" w14:textId="77777777" w:rsidR="00852AF6" w:rsidRPr="00852AF6" w:rsidRDefault="00852AF6" w:rsidP="00852AF6">
            <w:r w:rsidRPr="00852AF6">
              <w:t>Solar Power Coin</w:t>
            </w:r>
          </w:p>
        </w:tc>
      </w:tr>
      <w:tr w:rsidR="00852AF6" w:rsidRPr="00852AF6" w14:paraId="4463C7CB" w14:textId="77777777">
        <w:trPr>
          <w:tblCellSpacing w:w="15" w:type="dxa"/>
        </w:trPr>
        <w:tc>
          <w:tcPr>
            <w:tcW w:w="0" w:type="auto"/>
            <w:vAlign w:val="center"/>
            <w:hideMark/>
          </w:tcPr>
          <w:p w14:paraId="446F978C" w14:textId="77777777" w:rsidR="00852AF6" w:rsidRPr="00852AF6" w:rsidRDefault="00852AF6" w:rsidP="00852AF6">
            <w:r w:rsidRPr="00852AF6">
              <w:t>Ticker</w:t>
            </w:r>
          </w:p>
        </w:tc>
        <w:tc>
          <w:tcPr>
            <w:tcW w:w="0" w:type="auto"/>
            <w:vAlign w:val="center"/>
            <w:hideMark/>
          </w:tcPr>
          <w:p w14:paraId="0815B8EB" w14:textId="77777777" w:rsidR="00852AF6" w:rsidRPr="00852AF6" w:rsidRDefault="00852AF6" w:rsidP="00852AF6">
            <w:r w:rsidRPr="00852AF6">
              <w:t>SPC</w:t>
            </w:r>
          </w:p>
        </w:tc>
      </w:tr>
      <w:tr w:rsidR="00852AF6" w:rsidRPr="00852AF6" w14:paraId="3AE13F39" w14:textId="77777777">
        <w:trPr>
          <w:tblCellSpacing w:w="15" w:type="dxa"/>
        </w:trPr>
        <w:tc>
          <w:tcPr>
            <w:tcW w:w="0" w:type="auto"/>
            <w:vAlign w:val="center"/>
            <w:hideMark/>
          </w:tcPr>
          <w:p w14:paraId="42F487F8" w14:textId="77777777" w:rsidR="00852AF6" w:rsidRPr="00852AF6" w:rsidRDefault="00852AF6" w:rsidP="00852AF6">
            <w:r w:rsidRPr="00852AF6">
              <w:t>Standard</w:t>
            </w:r>
          </w:p>
        </w:tc>
        <w:tc>
          <w:tcPr>
            <w:tcW w:w="0" w:type="auto"/>
            <w:vAlign w:val="center"/>
            <w:hideMark/>
          </w:tcPr>
          <w:p w14:paraId="3A110B0A" w14:textId="77777777" w:rsidR="00852AF6" w:rsidRPr="00852AF6" w:rsidRDefault="00852AF6" w:rsidP="00852AF6">
            <w:r w:rsidRPr="00852AF6">
              <w:t>ERC-20 or EVM-compatible equivalent</w:t>
            </w:r>
          </w:p>
        </w:tc>
      </w:tr>
      <w:tr w:rsidR="00852AF6" w:rsidRPr="00852AF6" w14:paraId="49F7E9A1" w14:textId="77777777">
        <w:trPr>
          <w:tblCellSpacing w:w="15" w:type="dxa"/>
        </w:trPr>
        <w:tc>
          <w:tcPr>
            <w:tcW w:w="0" w:type="auto"/>
            <w:vAlign w:val="center"/>
            <w:hideMark/>
          </w:tcPr>
          <w:p w14:paraId="6E433736" w14:textId="77777777" w:rsidR="00852AF6" w:rsidRPr="00852AF6" w:rsidRDefault="00852AF6" w:rsidP="00852AF6">
            <w:r w:rsidRPr="00852AF6">
              <w:t>Token Type</w:t>
            </w:r>
          </w:p>
        </w:tc>
        <w:tc>
          <w:tcPr>
            <w:tcW w:w="0" w:type="auto"/>
            <w:vAlign w:val="center"/>
            <w:hideMark/>
          </w:tcPr>
          <w:p w14:paraId="23A9F3BA" w14:textId="77777777" w:rsidR="00852AF6" w:rsidRPr="00852AF6" w:rsidRDefault="00852AF6" w:rsidP="00852AF6">
            <w:r w:rsidRPr="00852AF6">
              <w:t>Energy RWA reference token</w:t>
            </w:r>
          </w:p>
        </w:tc>
      </w:tr>
      <w:tr w:rsidR="00852AF6" w:rsidRPr="00852AF6" w14:paraId="60430802" w14:textId="77777777">
        <w:trPr>
          <w:tblCellSpacing w:w="15" w:type="dxa"/>
        </w:trPr>
        <w:tc>
          <w:tcPr>
            <w:tcW w:w="0" w:type="auto"/>
            <w:vAlign w:val="center"/>
            <w:hideMark/>
          </w:tcPr>
          <w:p w14:paraId="46CAB522" w14:textId="77777777" w:rsidR="00852AF6" w:rsidRPr="00852AF6" w:rsidRDefault="00852AF6" w:rsidP="00852AF6">
            <w:r w:rsidRPr="00852AF6">
              <w:t>Reference Model</w:t>
            </w:r>
          </w:p>
        </w:tc>
        <w:tc>
          <w:tcPr>
            <w:tcW w:w="0" w:type="auto"/>
            <w:vAlign w:val="center"/>
            <w:hideMark/>
          </w:tcPr>
          <w:p w14:paraId="6993A58D" w14:textId="77777777" w:rsidR="00852AF6" w:rsidRPr="00852AF6" w:rsidRDefault="00852AF6" w:rsidP="00852AF6">
            <w:r w:rsidRPr="00852AF6">
              <w:t xml:space="preserve">Energy Reference Index and </w:t>
            </w:r>
            <w:proofErr w:type="spellStart"/>
            <w:r w:rsidRPr="00852AF6">
              <w:t>eNAV</w:t>
            </w:r>
            <w:proofErr w:type="spellEnd"/>
          </w:p>
        </w:tc>
      </w:tr>
      <w:tr w:rsidR="00852AF6" w:rsidRPr="00852AF6" w14:paraId="1F49338C" w14:textId="77777777">
        <w:trPr>
          <w:tblCellSpacing w:w="15" w:type="dxa"/>
        </w:trPr>
        <w:tc>
          <w:tcPr>
            <w:tcW w:w="0" w:type="auto"/>
            <w:vAlign w:val="center"/>
            <w:hideMark/>
          </w:tcPr>
          <w:p w14:paraId="06972340" w14:textId="77777777" w:rsidR="00852AF6" w:rsidRPr="00852AF6" w:rsidRDefault="00852AF6" w:rsidP="00852AF6">
            <w:r w:rsidRPr="00852AF6">
              <w:t>Issuance</w:t>
            </w:r>
          </w:p>
        </w:tc>
        <w:tc>
          <w:tcPr>
            <w:tcW w:w="0" w:type="auto"/>
            <w:vAlign w:val="center"/>
            <w:hideMark/>
          </w:tcPr>
          <w:p w14:paraId="6F2FFEA7" w14:textId="77777777" w:rsidR="00852AF6" w:rsidRPr="00852AF6" w:rsidRDefault="00852AF6" w:rsidP="00852AF6">
            <w:r w:rsidRPr="00852AF6">
              <w:t>Asset-backed and reserve-limited issuance</w:t>
            </w:r>
          </w:p>
        </w:tc>
      </w:tr>
      <w:tr w:rsidR="00852AF6" w:rsidRPr="00852AF6" w14:paraId="19FB7950" w14:textId="77777777">
        <w:trPr>
          <w:tblCellSpacing w:w="15" w:type="dxa"/>
        </w:trPr>
        <w:tc>
          <w:tcPr>
            <w:tcW w:w="0" w:type="auto"/>
            <w:vAlign w:val="center"/>
            <w:hideMark/>
          </w:tcPr>
          <w:p w14:paraId="564B4478" w14:textId="77777777" w:rsidR="00852AF6" w:rsidRPr="00852AF6" w:rsidRDefault="00852AF6" w:rsidP="00852AF6">
            <w:r w:rsidRPr="00852AF6">
              <w:t>Primary Utility</w:t>
            </w:r>
          </w:p>
        </w:tc>
        <w:tc>
          <w:tcPr>
            <w:tcW w:w="0" w:type="auto"/>
            <w:vAlign w:val="center"/>
            <w:hideMark/>
          </w:tcPr>
          <w:p w14:paraId="208E9BCB" w14:textId="77777777" w:rsidR="00852AF6" w:rsidRPr="00852AF6" w:rsidRDefault="00852AF6" w:rsidP="00852AF6">
            <w:r w:rsidRPr="00852AF6">
              <w:t>Staking, energy reference value, EV payment, SPC-SLC swap</w:t>
            </w:r>
          </w:p>
        </w:tc>
      </w:tr>
      <w:tr w:rsidR="00852AF6" w:rsidRPr="00852AF6" w14:paraId="334C48B9" w14:textId="77777777">
        <w:trPr>
          <w:tblCellSpacing w:w="15" w:type="dxa"/>
        </w:trPr>
        <w:tc>
          <w:tcPr>
            <w:tcW w:w="0" w:type="auto"/>
            <w:vAlign w:val="center"/>
            <w:hideMark/>
          </w:tcPr>
          <w:p w14:paraId="5F69BF3D" w14:textId="77777777" w:rsidR="00852AF6" w:rsidRPr="00852AF6" w:rsidRDefault="00852AF6" w:rsidP="00852AF6">
            <w:r w:rsidRPr="00852AF6">
              <w:t>Genesis Allocation</w:t>
            </w:r>
          </w:p>
        </w:tc>
        <w:tc>
          <w:tcPr>
            <w:tcW w:w="0" w:type="auto"/>
            <w:vAlign w:val="center"/>
            <w:hideMark/>
          </w:tcPr>
          <w:p w14:paraId="76DA6471" w14:textId="77777777" w:rsidR="00852AF6" w:rsidRPr="00852AF6" w:rsidRDefault="00852AF6" w:rsidP="00852AF6">
            <w:r w:rsidRPr="00852AF6">
              <w:t>6,000,000 SPC</w:t>
            </w:r>
          </w:p>
        </w:tc>
      </w:tr>
      <w:tr w:rsidR="00852AF6" w:rsidRPr="00852AF6" w14:paraId="568B32AC" w14:textId="77777777">
        <w:trPr>
          <w:tblCellSpacing w:w="15" w:type="dxa"/>
        </w:trPr>
        <w:tc>
          <w:tcPr>
            <w:tcW w:w="0" w:type="auto"/>
            <w:vAlign w:val="center"/>
            <w:hideMark/>
          </w:tcPr>
          <w:p w14:paraId="108EBCD9" w14:textId="77777777" w:rsidR="00852AF6" w:rsidRPr="00852AF6" w:rsidRDefault="00852AF6" w:rsidP="00852AF6">
            <w:r w:rsidRPr="00852AF6">
              <w:t>Early Bird Allocation</w:t>
            </w:r>
          </w:p>
        </w:tc>
        <w:tc>
          <w:tcPr>
            <w:tcW w:w="0" w:type="auto"/>
            <w:vAlign w:val="center"/>
            <w:hideMark/>
          </w:tcPr>
          <w:p w14:paraId="4EEF89ED" w14:textId="77777777" w:rsidR="00852AF6" w:rsidRPr="00852AF6" w:rsidRDefault="00852AF6" w:rsidP="00852AF6">
            <w:r w:rsidRPr="00852AF6">
              <w:t>2,000,000 SPC within Genesis allocation</w:t>
            </w:r>
          </w:p>
        </w:tc>
      </w:tr>
      <w:tr w:rsidR="00852AF6" w:rsidRPr="00852AF6" w14:paraId="7A9A34DE" w14:textId="77777777">
        <w:trPr>
          <w:tblCellSpacing w:w="15" w:type="dxa"/>
        </w:trPr>
        <w:tc>
          <w:tcPr>
            <w:tcW w:w="0" w:type="auto"/>
            <w:vAlign w:val="center"/>
            <w:hideMark/>
          </w:tcPr>
          <w:p w14:paraId="3523C7B4" w14:textId="77777777" w:rsidR="00852AF6" w:rsidRPr="00852AF6" w:rsidRDefault="00852AF6" w:rsidP="00852AF6">
            <w:r w:rsidRPr="00852AF6">
              <w:t>Genesis Price</w:t>
            </w:r>
          </w:p>
        </w:tc>
        <w:tc>
          <w:tcPr>
            <w:tcW w:w="0" w:type="auto"/>
            <w:vAlign w:val="center"/>
            <w:hideMark/>
          </w:tcPr>
          <w:p w14:paraId="38B1085A" w14:textId="77777777" w:rsidR="00852AF6" w:rsidRPr="00852AF6" w:rsidRDefault="00852AF6" w:rsidP="00852AF6">
            <w:r w:rsidRPr="00852AF6">
              <w:t>100 KRW</w:t>
            </w:r>
          </w:p>
        </w:tc>
      </w:tr>
      <w:tr w:rsidR="00852AF6" w:rsidRPr="00852AF6" w14:paraId="0984F1FE" w14:textId="77777777">
        <w:trPr>
          <w:tblCellSpacing w:w="15" w:type="dxa"/>
        </w:trPr>
        <w:tc>
          <w:tcPr>
            <w:tcW w:w="0" w:type="auto"/>
            <w:vAlign w:val="center"/>
            <w:hideMark/>
          </w:tcPr>
          <w:p w14:paraId="08EB1021" w14:textId="77777777" w:rsidR="00852AF6" w:rsidRPr="00852AF6" w:rsidRDefault="00852AF6" w:rsidP="00852AF6">
            <w:r w:rsidRPr="00852AF6">
              <w:t>Reference Objective</w:t>
            </w:r>
          </w:p>
        </w:tc>
        <w:tc>
          <w:tcPr>
            <w:tcW w:w="0" w:type="auto"/>
            <w:vAlign w:val="center"/>
            <w:hideMark/>
          </w:tcPr>
          <w:p w14:paraId="3CD66F9F" w14:textId="77777777" w:rsidR="00852AF6" w:rsidRPr="00852AF6" w:rsidRDefault="00852AF6" w:rsidP="00852AF6">
            <w:r w:rsidRPr="00852AF6">
              <w:t>Designed around 200 KRW-class energy reference logic, not guaranteed</w:t>
            </w:r>
          </w:p>
        </w:tc>
      </w:tr>
    </w:tbl>
    <w:p w14:paraId="4C445ED6" w14:textId="77777777" w:rsidR="00852AF6" w:rsidRPr="00852AF6" w:rsidRDefault="00852AF6" w:rsidP="00852AF6">
      <w:pPr>
        <w:rPr>
          <w:b/>
          <w:bCs/>
        </w:rPr>
      </w:pPr>
      <w:r w:rsidRPr="00852AF6">
        <w:rPr>
          <w:b/>
          <w:bCs/>
        </w:rPr>
        <w:t xml:space="preserve">14.2 SLC </w:t>
      </w:r>
      <w:proofErr w:type="spellStart"/>
      <w:r w:rsidRPr="00852AF6">
        <w:rPr>
          <w:b/>
          <w:bCs/>
        </w:rPr>
        <w:t>Tokenomics</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39"/>
        <w:gridCol w:w="7287"/>
      </w:tblGrid>
      <w:tr w:rsidR="00852AF6" w:rsidRPr="00852AF6" w14:paraId="2CE3B58C" w14:textId="77777777">
        <w:trPr>
          <w:tblHeader/>
          <w:tblCellSpacing w:w="15" w:type="dxa"/>
        </w:trPr>
        <w:tc>
          <w:tcPr>
            <w:tcW w:w="0" w:type="auto"/>
            <w:vAlign w:val="center"/>
            <w:hideMark/>
          </w:tcPr>
          <w:p w14:paraId="75F70F1B" w14:textId="77777777" w:rsidR="00852AF6" w:rsidRPr="00852AF6" w:rsidRDefault="00852AF6" w:rsidP="00852AF6">
            <w:pPr>
              <w:rPr>
                <w:b/>
                <w:bCs/>
              </w:rPr>
            </w:pPr>
            <w:r w:rsidRPr="00852AF6">
              <w:rPr>
                <w:b/>
                <w:bCs/>
              </w:rPr>
              <w:t>Category</w:t>
            </w:r>
          </w:p>
        </w:tc>
        <w:tc>
          <w:tcPr>
            <w:tcW w:w="0" w:type="auto"/>
            <w:vAlign w:val="center"/>
            <w:hideMark/>
          </w:tcPr>
          <w:p w14:paraId="220B7712" w14:textId="77777777" w:rsidR="00852AF6" w:rsidRPr="00852AF6" w:rsidRDefault="00852AF6" w:rsidP="00852AF6">
            <w:pPr>
              <w:rPr>
                <w:b/>
                <w:bCs/>
              </w:rPr>
            </w:pPr>
            <w:r w:rsidRPr="00852AF6">
              <w:rPr>
                <w:b/>
                <w:bCs/>
              </w:rPr>
              <w:t>Specification</w:t>
            </w:r>
          </w:p>
        </w:tc>
      </w:tr>
      <w:tr w:rsidR="00852AF6" w:rsidRPr="00852AF6" w14:paraId="7A64583C" w14:textId="77777777">
        <w:trPr>
          <w:tblCellSpacing w:w="15" w:type="dxa"/>
        </w:trPr>
        <w:tc>
          <w:tcPr>
            <w:tcW w:w="0" w:type="auto"/>
            <w:vAlign w:val="center"/>
            <w:hideMark/>
          </w:tcPr>
          <w:p w14:paraId="36B884B1" w14:textId="77777777" w:rsidR="00852AF6" w:rsidRPr="00852AF6" w:rsidRDefault="00852AF6" w:rsidP="00852AF6">
            <w:r w:rsidRPr="00852AF6">
              <w:t>Token Name</w:t>
            </w:r>
          </w:p>
        </w:tc>
        <w:tc>
          <w:tcPr>
            <w:tcW w:w="0" w:type="auto"/>
            <w:vAlign w:val="center"/>
            <w:hideMark/>
          </w:tcPr>
          <w:p w14:paraId="5FC7430E" w14:textId="77777777" w:rsidR="00852AF6" w:rsidRPr="00852AF6" w:rsidRDefault="00852AF6" w:rsidP="00852AF6">
            <w:r w:rsidRPr="00852AF6">
              <w:t>Sun Light Coin</w:t>
            </w:r>
          </w:p>
        </w:tc>
      </w:tr>
      <w:tr w:rsidR="00852AF6" w:rsidRPr="00852AF6" w14:paraId="142D8BE8" w14:textId="77777777">
        <w:trPr>
          <w:tblCellSpacing w:w="15" w:type="dxa"/>
        </w:trPr>
        <w:tc>
          <w:tcPr>
            <w:tcW w:w="0" w:type="auto"/>
            <w:vAlign w:val="center"/>
            <w:hideMark/>
          </w:tcPr>
          <w:p w14:paraId="7699E211" w14:textId="77777777" w:rsidR="00852AF6" w:rsidRPr="00852AF6" w:rsidRDefault="00852AF6" w:rsidP="00852AF6">
            <w:r w:rsidRPr="00852AF6">
              <w:t>Ticker</w:t>
            </w:r>
          </w:p>
        </w:tc>
        <w:tc>
          <w:tcPr>
            <w:tcW w:w="0" w:type="auto"/>
            <w:vAlign w:val="center"/>
            <w:hideMark/>
          </w:tcPr>
          <w:p w14:paraId="08829227" w14:textId="77777777" w:rsidR="00852AF6" w:rsidRPr="00852AF6" w:rsidRDefault="00852AF6" w:rsidP="00852AF6">
            <w:r w:rsidRPr="00852AF6">
              <w:t>SLC</w:t>
            </w:r>
          </w:p>
        </w:tc>
      </w:tr>
      <w:tr w:rsidR="00852AF6" w:rsidRPr="00852AF6" w14:paraId="3E385577" w14:textId="77777777">
        <w:trPr>
          <w:tblCellSpacing w:w="15" w:type="dxa"/>
        </w:trPr>
        <w:tc>
          <w:tcPr>
            <w:tcW w:w="0" w:type="auto"/>
            <w:vAlign w:val="center"/>
            <w:hideMark/>
          </w:tcPr>
          <w:p w14:paraId="325CFD6D" w14:textId="77777777" w:rsidR="00852AF6" w:rsidRPr="00852AF6" w:rsidRDefault="00852AF6" w:rsidP="00852AF6">
            <w:r w:rsidRPr="00852AF6">
              <w:t>Standard</w:t>
            </w:r>
          </w:p>
        </w:tc>
        <w:tc>
          <w:tcPr>
            <w:tcW w:w="0" w:type="auto"/>
            <w:vAlign w:val="center"/>
            <w:hideMark/>
          </w:tcPr>
          <w:p w14:paraId="347316A4" w14:textId="77777777" w:rsidR="00852AF6" w:rsidRPr="00852AF6" w:rsidRDefault="00852AF6" w:rsidP="00852AF6">
            <w:r w:rsidRPr="00852AF6">
              <w:t>ERC-20 or EVM-compatible equivalent</w:t>
            </w:r>
          </w:p>
        </w:tc>
      </w:tr>
      <w:tr w:rsidR="00852AF6" w:rsidRPr="00852AF6" w14:paraId="680C2147" w14:textId="77777777">
        <w:trPr>
          <w:tblCellSpacing w:w="15" w:type="dxa"/>
        </w:trPr>
        <w:tc>
          <w:tcPr>
            <w:tcW w:w="0" w:type="auto"/>
            <w:vAlign w:val="center"/>
            <w:hideMark/>
          </w:tcPr>
          <w:p w14:paraId="12337F70" w14:textId="77777777" w:rsidR="00852AF6" w:rsidRPr="00852AF6" w:rsidRDefault="00852AF6" w:rsidP="00852AF6">
            <w:r w:rsidRPr="00852AF6">
              <w:t>Token Type</w:t>
            </w:r>
          </w:p>
        </w:tc>
        <w:tc>
          <w:tcPr>
            <w:tcW w:w="0" w:type="auto"/>
            <w:vAlign w:val="center"/>
            <w:hideMark/>
          </w:tcPr>
          <w:p w14:paraId="5CACB0EB" w14:textId="77777777" w:rsidR="00852AF6" w:rsidRPr="00852AF6" w:rsidRDefault="00852AF6" w:rsidP="00852AF6">
            <w:r w:rsidRPr="00852AF6">
              <w:t>Utility, governance, liquidity, and incentive token</w:t>
            </w:r>
          </w:p>
        </w:tc>
      </w:tr>
      <w:tr w:rsidR="00852AF6" w:rsidRPr="00852AF6" w14:paraId="4A738870" w14:textId="77777777">
        <w:trPr>
          <w:tblCellSpacing w:w="15" w:type="dxa"/>
        </w:trPr>
        <w:tc>
          <w:tcPr>
            <w:tcW w:w="0" w:type="auto"/>
            <w:vAlign w:val="center"/>
            <w:hideMark/>
          </w:tcPr>
          <w:p w14:paraId="34658EF0" w14:textId="77777777" w:rsidR="00852AF6" w:rsidRPr="00852AF6" w:rsidRDefault="00852AF6" w:rsidP="00852AF6">
            <w:r w:rsidRPr="00852AF6">
              <w:t>Primary Utility</w:t>
            </w:r>
          </w:p>
        </w:tc>
        <w:tc>
          <w:tcPr>
            <w:tcW w:w="0" w:type="auto"/>
            <w:vAlign w:val="center"/>
            <w:hideMark/>
          </w:tcPr>
          <w:p w14:paraId="3729677A" w14:textId="77777777" w:rsidR="00852AF6" w:rsidRPr="00852AF6" w:rsidRDefault="00852AF6" w:rsidP="00852AF6">
            <w:r w:rsidRPr="00852AF6">
              <w:t>Fees, staking, governance, liquidity, buyback, ecosystem incentives</w:t>
            </w:r>
          </w:p>
        </w:tc>
      </w:tr>
      <w:tr w:rsidR="00852AF6" w:rsidRPr="00852AF6" w14:paraId="05BA48A1" w14:textId="77777777">
        <w:trPr>
          <w:tblCellSpacing w:w="15" w:type="dxa"/>
        </w:trPr>
        <w:tc>
          <w:tcPr>
            <w:tcW w:w="0" w:type="auto"/>
            <w:vAlign w:val="center"/>
            <w:hideMark/>
          </w:tcPr>
          <w:p w14:paraId="4D4617B7" w14:textId="77777777" w:rsidR="00852AF6" w:rsidRPr="00852AF6" w:rsidRDefault="00852AF6" w:rsidP="00852AF6">
            <w:r w:rsidRPr="00852AF6">
              <w:t>Value Drivers</w:t>
            </w:r>
          </w:p>
        </w:tc>
        <w:tc>
          <w:tcPr>
            <w:tcW w:w="0" w:type="auto"/>
            <w:vAlign w:val="center"/>
            <w:hideMark/>
          </w:tcPr>
          <w:p w14:paraId="150897F5" w14:textId="77777777" w:rsidR="00852AF6" w:rsidRPr="00852AF6" w:rsidRDefault="00852AF6" w:rsidP="00852AF6">
            <w:r w:rsidRPr="00852AF6">
              <w:t>SPC demand, power revenue, protocol fees, EV usage, buyback and burn</w:t>
            </w:r>
          </w:p>
        </w:tc>
      </w:tr>
      <w:tr w:rsidR="00852AF6" w:rsidRPr="00852AF6" w14:paraId="0BFED786" w14:textId="77777777">
        <w:trPr>
          <w:tblCellSpacing w:w="15" w:type="dxa"/>
        </w:trPr>
        <w:tc>
          <w:tcPr>
            <w:tcW w:w="0" w:type="auto"/>
            <w:vAlign w:val="center"/>
            <w:hideMark/>
          </w:tcPr>
          <w:p w14:paraId="56810BEC" w14:textId="77777777" w:rsidR="00852AF6" w:rsidRPr="00852AF6" w:rsidRDefault="00852AF6" w:rsidP="00852AF6">
            <w:r w:rsidRPr="00852AF6">
              <w:t>Burn Mechanism</w:t>
            </w:r>
          </w:p>
        </w:tc>
        <w:tc>
          <w:tcPr>
            <w:tcW w:w="0" w:type="auto"/>
            <w:vAlign w:val="center"/>
            <w:hideMark/>
          </w:tcPr>
          <w:p w14:paraId="2FB348DB" w14:textId="77777777" w:rsidR="00852AF6" w:rsidRPr="00852AF6" w:rsidRDefault="00852AF6" w:rsidP="00852AF6">
            <w:r w:rsidRPr="00852AF6">
              <w:t>Periodic burn from repurchased SLC</w:t>
            </w:r>
          </w:p>
        </w:tc>
      </w:tr>
      <w:tr w:rsidR="00852AF6" w:rsidRPr="00852AF6" w14:paraId="61C647BE" w14:textId="77777777">
        <w:trPr>
          <w:tblCellSpacing w:w="15" w:type="dxa"/>
        </w:trPr>
        <w:tc>
          <w:tcPr>
            <w:tcW w:w="0" w:type="auto"/>
            <w:vAlign w:val="center"/>
            <w:hideMark/>
          </w:tcPr>
          <w:p w14:paraId="4A9EDA9D" w14:textId="77777777" w:rsidR="00852AF6" w:rsidRPr="00852AF6" w:rsidRDefault="00852AF6" w:rsidP="00852AF6">
            <w:r w:rsidRPr="00852AF6">
              <w:t>Governance</w:t>
            </w:r>
          </w:p>
        </w:tc>
        <w:tc>
          <w:tcPr>
            <w:tcW w:w="0" w:type="auto"/>
            <w:vAlign w:val="center"/>
            <w:hideMark/>
          </w:tcPr>
          <w:p w14:paraId="4B3595F2" w14:textId="77777777" w:rsidR="00852AF6" w:rsidRPr="00852AF6" w:rsidRDefault="00852AF6" w:rsidP="00852AF6">
            <w:r w:rsidRPr="00852AF6">
              <w:t>Protocol parameters, treasury allocation, new asset onboarding</w:t>
            </w:r>
          </w:p>
        </w:tc>
      </w:tr>
    </w:tbl>
    <w:p w14:paraId="0EBB3445" w14:textId="77777777" w:rsidR="00852AF6" w:rsidRPr="00852AF6" w:rsidRDefault="00852AF6" w:rsidP="00852AF6">
      <w:pPr>
        <w:rPr>
          <w:b/>
          <w:bCs/>
        </w:rPr>
      </w:pPr>
      <w:r w:rsidRPr="00852AF6">
        <w:rPr>
          <w:b/>
          <w:bCs/>
        </w:rPr>
        <w:t>14.3 Private Sale Structure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72"/>
        <w:gridCol w:w="5816"/>
      </w:tblGrid>
      <w:tr w:rsidR="00852AF6" w:rsidRPr="00852AF6" w14:paraId="2272258C" w14:textId="77777777">
        <w:trPr>
          <w:tblHeader/>
          <w:tblCellSpacing w:w="15" w:type="dxa"/>
        </w:trPr>
        <w:tc>
          <w:tcPr>
            <w:tcW w:w="0" w:type="auto"/>
            <w:vAlign w:val="center"/>
            <w:hideMark/>
          </w:tcPr>
          <w:p w14:paraId="3ED0F24A" w14:textId="77777777" w:rsidR="00852AF6" w:rsidRPr="00852AF6" w:rsidRDefault="00852AF6" w:rsidP="00852AF6">
            <w:pPr>
              <w:rPr>
                <w:b/>
                <w:bCs/>
              </w:rPr>
            </w:pPr>
            <w:r w:rsidRPr="00852AF6">
              <w:rPr>
                <w:b/>
                <w:bCs/>
              </w:rPr>
              <w:t>Item</w:t>
            </w:r>
          </w:p>
        </w:tc>
        <w:tc>
          <w:tcPr>
            <w:tcW w:w="0" w:type="auto"/>
            <w:vAlign w:val="center"/>
            <w:hideMark/>
          </w:tcPr>
          <w:p w14:paraId="70EBD5B3" w14:textId="77777777" w:rsidR="00852AF6" w:rsidRPr="00852AF6" w:rsidRDefault="00852AF6" w:rsidP="00852AF6">
            <w:pPr>
              <w:rPr>
                <w:b/>
                <w:bCs/>
              </w:rPr>
            </w:pPr>
            <w:r w:rsidRPr="00852AF6">
              <w:rPr>
                <w:b/>
                <w:bCs/>
              </w:rPr>
              <w:t>Condition</w:t>
            </w:r>
          </w:p>
        </w:tc>
      </w:tr>
      <w:tr w:rsidR="00852AF6" w:rsidRPr="00852AF6" w14:paraId="73B05AE6" w14:textId="77777777">
        <w:trPr>
          <w:tblCellSpacing w:w="15" w:type="dxa"/>
        </w:trPr>
        <w:tc>
          <w:tcPr>
            <w:tcW w:w="0" w:type="auto"/>
            <w:vAlign w:val="center"/>
            <w:hideMark/>
          </w:tcPr>
          <w:p w14:paraId="10172688" w14:textId="77777777" w:rsidR="00852AF6" w:rsidRPr="00852AF6" w:rsidRDefault="00852AF6" w:rsidP="00852AF6">
            <w:r w:rsidRPr="00852AF6">
              <w:t>Token</w:t>
            </w:r>
          </w:p>
        </w:tc>
        <w:tc>
          <w:tcPr>
            <w:tcW w:w="0" w:type="auto"/>
            <w:vAlign w:val="center"/>
            <w:hideMark/>
          </w:tcPr>
          <w:p w14:paraId="632DEB7F" w14:textId="77777777" w:rsidR="00852AF6" w:rsidRPr="00852AF6" w:rsidRDefault="00852AF6" w:rsidP="00852AF6">
            <w:r w:rsidRPr="00852AF6">
              <w:t>SPC</w:t>
            </w:r>
          </w:p>
        </w:tc>
      </w:tr>
      <w:tr w:rsidR="00852AF6" w:rsidRPr="00852AF6" w14:paraId="069436A5" w14:textId="77777777">
        <w:trPr>
          <w:tblCellSpacing w:w="15" w:type="dxa"/>
        </w:trPr>
        <w:tc>
          <w:tcPr>
            <w:tcW w:w="0" w:type="auto"/>
            <w:vAlign w:val="center"/>
            <w:hideMark/>
          </w:tcPr>
          <w:p w14:paraId="4F9C1BBF" w14:textId="77777777" w:rsidR="00852AF6" w:rsidRPr="00852AF6" w:rsidRDefault="00852AF6" w:rsidP="00852AF6">
            <w:r w:rsidRPr="00852AF6">
              <w:t>Private Sale Price</w:t>
            </w:r>
          </w:p>
        </w:tc>
        <w:tc>
          <w:tcPr>
            <w:tcW w:w="0" w:type="auto"/>
            <w:vAlign w:val="center"/>
            <w:hideMark/>
          </w:tcPr>
          <w:p w14:paraId="32E14155" w14:textId="77777777" w:rsidR="00852AF6" w:rsidRPr="00852AF6" w:rsidRDefault="00852AF6" w:rsidP="00852AF6">
            <w:r w:rsidRPr="00852AF6">
              <w:t>100 KRW</w:t>
            </w:r>
          </w:p>
        </w:tc>
      </w:tr>
      <w:tr w:rsidR="00852AF6" w:rsidRPr="00852AF6" w14:paraId="00C2361B" w14:textId="77777777">
        <w:trPr>
          <w:tblCellSpacing w:w="15" w:type="dxa"/>
        </w:trPr>
        <w:tc>
          <w:tcPr>
            <w:tcW w:w="0" w:type="auto"/>
            <w:vAlign w:val="center"/>
            <w:hideMark/>
          </w:tcPr>
          <w:p w14:paraId="7F010678" w14:textId="77777777" w:rsidR="00852AF6" w:rsidRPr="00852AF6" w:rsidRDefault="00852AF6" w:rsidP="00852AF6">
            <w:r w:rsidRPr="00852AF6">
              <w:t>Total Private Sale Allocation</w:t>
            </w:r>
          </w:p>
        </w:tc>
        <w:tc>
          <w:tcPr>
            <w:tcW w:w="0" w:type="auto"/>
            <w:vAlign w:val="center"/>
            <w:hideMark/>
          </w:tcPr>
          <w:p w14:paraId="65622214" w14:textId="77777777" w:rsidR="00852AF6" w:rsidRPr="00852AF6" w:rsidRDefault="00852AF6" w:rsidP="00852AF6">
            <w:r w:rsidRPr="00852AF6">
              <w:t>6,000,000 SPC</w:t>
            </w:r>
          </w:p>
        </w:tc>
      </w:tr>
      <w:tr w:rsidR="00852AF6" w:rsidRPr="00852AF6" w14:paraId="7912E6B3" w14:textId="77777777">
        <w:trPr>
          <w:tblCellSpacing w:w="15" w:type="dxa"/>
        </w:trPr>
        <w:tc>
          <w:tcPr>
            <w:tcW w:w="0" w:type="auto"/>
            <w:vAlign w:val="center"/>
            <w:hideMark/>
          </w:tcPr>
          <w:p w14:paraId="35A25F4F" w14:textId="77777777" w:rsidR="00852AF6" w:rsidRPr="00852AF6" w:rsidRDefault="00852AF6" w:rsidP="00852AF6">
            <w:r w:rsidRPr="00852AF6">
              <w:t>Early Bird Allocation</w:t>
            </w:r>
          </w:p>
        </w:tc>
        <w:tc>
          <w:tcPr>
            <w:tcW w:w="0" w:type="auto"/>
            <w:vAlign w:val="center"/>
            <w:hideMark/>
          </w:tcPr>
          <w:p w14:paraId="312F27B4" w14:textId="77777777" w:rsidR="00852AF6" w:rsidRPr="00852AF6" w:rsidRDefault="00852AF6" w:rsidP="00852AF6">
            <w:r w:rsidRPr="00852AF6">
              <w:t>2,000,000 SPC</w:t>
            </w:r>
          </w:p>
        </w:tc>
      </w:tr>
      <w:tr w:rsidR="00852AF6" w:rsidRPr="00852AF6" w14:paraId="4D30EB15" w14:textId="77777777">
        <w:trPr>
          <w:tblCellSpacing w:w="15" w:type="dxa"/>
        </w:trPr>
        <w:tc>
          <w:tcPr>
            <w:tcW w:w="0" w:type="auto"/>
            <w:vAlign w:val="center"/>
            <w:hideMark/>
          </w:tcPr>
          <w:p w14:paraId="652957B6" w14:textId="77777777" w:rsidR="00852AF6" w:rsidRPr="00852AF6" w:rsidRDefault="00852AF6" w:rsidP="00852AF6">
            <w:r w:rsidRPr="00852AF6">
              <w:t>Lock-Up</w:t>
            </w:r>
          </w:p>
        </w:tc>
        <w:tc>
          <w:tcPr>
            <w:tcW w:w="0" w:type="auto"/>
            <w:vAlign w:val="center"/>
            <w:hideMark/>
          </w:tcPr>
          <w:p w14:paraId="7E16D687" w14:textId="77777777" w:rsidR="00852AF6" w:rsidRPr="00852AF6" w:rsidRDefault="00852AF6" w:rsidP="00852AF6">
            <w:r w:rsidRPr="00852AF6">
              <w:t>12 months</w:t>
            </w:r>
          </w:p>
        </w:tc>
      </w:tr>
      <w:tr w:rsidR="00852AF6" w:rsidRPr="00852AF6" w14:paraId="6AFDEF49" w14:textId="77777777">
        <w:trPr>
          <w:tblCellSpacing w:w="15" w:type="dxa"/>
        </w:trPr>
        <w:tc>
          <w:tcPr>
            <w:tcW w:w="0" w:type="auto"/>
            <w:vAlign w:val="center"/>
            <w:hideMark/>
          </w:tcPr>
          <w:p w14:paraId="68B77026" w14:textId="77777777" w:rsidR="00852AF6" w:rsidRPr="00852AF6" w:rsidRDefault="00852AF6" w:rsidP="00852AF6">
            <w:r w:rsidRPr="00852AF6">
              <w:t>Priority Redemption Queue</w:t>
            </w:r>
          </w:p>
        </w:tc>
        <w:tc>
          <w:tcPr>
            <w:tcW w:w="0" w:type="auto"/>
            <w:vAlign w:val="center"/>
            <w:hideMark/>
          </w:tcPr>
          <w:p w14:paraId="605654BE" w14:textId="77777777" w:rsidR="00852AF6" w:rsidRPr="00852AF6" w:rsidRDefault="00852AF6" w:rsidP="00852AF6">
            <w:r w:rsidRPr="00852AF6">
              <w:t>May activate after month 2, subject to liquidity</w:t>
            </w:r>
          </w:p>
        </w:tc>
      </w:tr>
      <w:tr w:rsidR="00852AF6" w:rsidRPr="00852AF6" w14:paraId="64543804" w14:textId="77777777">
        <w:trPr>
          <w:tblCellSpacing w:w="15" w:type="dxa"/>
        </w:trPr>
        <w:tc>
          <w:tcPr>
            <w:tcW w:w="0" w:type="auto"/>
            <w:vAlign w:val="center"/>
            <w:hideMark/>
          </w:tcPr>
          <w:p w14:paraId="2AD1C3CC" w14:textId="77777777" w:rsidR="00852AF6" w:rsidRPr="00852AF6" w:rsidRDefault="00852AF6" w:rsidP="00852AF6">
            <w:r w:rsidRPr="00852AF6">
              <w:t>Redemption Method</w:t>
            </w:r>
          </w:p>
        </w:tc>
        <w:tc>
          <w:tcPr>
            <w:tcW w:w="0" w:type="auto"/>
            <w:vAlign w:val="center"/>
            <w:hideMark/>
          </w:tcPr>
          <w:p w14:paraId="4C5141C0" w14:textId="77777777" w:rsidR="00852AF6" w:rsidRPr="00852AF6" w:rsidRDefault="00852AF6" w:rsidP="00852AF6">
            <w:proofErr w:type="spellStart"/>
            <w:r w:rsidRPr="00852AF6">
              <w:t>Supervizion</w:t>
            </w:r>
            <w:proofErr w:type="spellEnd"/>
            <w:r w:rsidRPr="00852AF6">
              <w:t xml:space="preserve"> Wallet swap, DEX liquidity, or treasury queue</w:t>
            </w:r>
          </w:p>
        </w:tc>
      </w:tr>
      <w:tr w:rsidR="00852AF6" w:rsidRPr="00852AF6" w14:paraId="566E462E" w14:textId="77777777">
        <w:trPr>
          <w:tblCellSpacing w:w="15" w:type="dxa"/>
        </w:trPr>
        <w:tc>
          <w:tcPr>
            <w:tcW w:w="0" w:type="auto"/>
            <w:vAlign w:val="center"/>
            <w:hideMark/>
          </w:tcPr>
          <w:p w14:paraId="0DF5E66B" w14:textId="77777777" w:rsidR="00852AF6" w:rsidRPr="00852AF6" w:rsidRDefault="00852AF6" w:rsidP="00852AF6">
            <w:r w:rsidRPr="00852AF6">
              <w:t>Risk Disclosure</w:t>
            </w:r>
          </w:p>
        </w:tc>
        <w:tc>
          <w:tcPr>
            <w:tcW w:w="0" w:type="auto"/>
            <w:vAlign w:val="center"/>
            <w:hideMark/>
          </w:tcPr>
          <w:p w14:paraId="2D955F1A" w14:textId="77777777" w:rsidR="00852AF6" w:rsidRPr="00852AF6" w:rsidRDefault="00852AF6" w:rsidP="00852AF6">
            <w:r w:rsidRPr="00852AF6">
              <w:t>Mandatory before participation</w:t>
            </w:r>
          </w:p>
        </w:tc>
      </w:tr>
    </w:tbl>
    <w:p w14:paraId="5F873577" w14:textId="77777777" w:rsidR="00852AF6" w:rsidRPr="00852AF6" w:rsidRDefault="00852AF6" w:rsidP="00852AF6">
      <w:r w:rsidRPr="00852AF6">
        <w:pict w14:anchorId="3A9BCE6A">
          <v:rect id="_x0000_i1184" style="width:0;height:1.5pt" o:hralign="center" o:hrstd="t" o:hr="t" fillcolor="#a0a0a0" stroked="f"/>
        </w:pict>
      </w:r>
    </w:p>
    <w:p w14:paraId="611AFF81" w14:textId="77777777" w:rsidR="00852AF6" w:rsidRPr="00852AF6" w:rsidRDefault="00852AF6" w:rsidP="00852AF6">
      <w:pPr>
        <w:rPr>
          <w:b/>
          <w:bCs/>
        </w:rPr>
      </w:pPr>
      <w:r w:rsidRPr="00852AF6">
        <w:rPr>
          <w:b/>
          <w:bCs/>
        </w:rPr>
        <w:t>15. Priority Liquidity Framework</w:t>
      </w:r>
    </w:p>
    <w:p w14:paraId="63C8D991" w14:textId="77777777" w:rsidR="00852AF6" w:rsidRPr="00852AF6" w:rsidRDefault="00852AF6" w:rsidP="00852AF6">
      <w:r w:rsidRPr="00852AF6">
        <w:t xml:space="preserve">Project S may introduce a </w:t>
      </w:r>
      <w:r w:rsidRPr="00852AF6">
        <w:rPr>
          <w:b/>
          <w:bCs/>
        </w:rPr>
        <w:t>Priority Redemption Queue</w:t>
      </w:r>
      <w:r w:rsidRPr="00852AF6">
        <w:t xml:space="preserve"> for early participants.</w:t>
      </w:r>
    </w:p>
    <w:p w14:paraId="2B4F8A7C" w14:textId="77777777" w:rsidR="00852AF6" w:rsidRPr="00852AF6" w:rsidRDefault="00852AF6" w:rsidP="00852AF6">
      <w:r w:rsidRPr="00852AF6">
        <w:t xml:space="preserve">This mechanism is not </w:t>
      </w:r>
      <w:proofErr w:type="gramStart"/>
      <w:r w:rsidRPr="00852AF6">
        <w:t>a guaranteed</w:t>
      </w:r>
      <w:proofErr w:type="gramEnd"/>
      <w:r w:rsidRPr="00852AF6">
        <w:t xml:space="preserve"> immediate buyback. It is a structured liquidity pathway designed to prioritize early participants when sufficient liquidity exists.</w:t>
      </w:r>
    </w:p>
    <w:p w14:paraId="258085B9" w14:textId="77777777" w:rsidR="00852AF6" w:rsidRPr="00852AF6" w:rsidRDefault="00852AF6" w:rsidP="00852AF6">
      <w:r w:rsidRPr="00852AF6">
        <w:t>The queue may be governed by:</w:t>
      </w:r>
    </w:p>
    <w:p w14:paraId="4E96D968" w14:textId="77777777" w:rsidR="00852AF6" w:rsidRPr="00852AF6" w:rsidRDefault="00852AF6" w:rsidP="00852AF6">
      <w:pPr>
        <w:numPr>
          <w:ilvl w:val="0"/>
          <w:numId w:val="28"/>
        </w:numPr>
      </w:pPr>
      <w:r w:rsidRPr="00852AF6">
        <w:t xml:space="preserve">First-in-first-out priority </w:t>
      </w:r>
    </w:p>
    <w:p w14:paraId="0C1F4466" w14:textId="77777777" w:rsidR="00852AF6" w:rsidRPr="00852AF6" w:rsidRDefault="00852AF6" w:rsidP="00852AF6">
      <w:pPr>
        <w:numPr>
          <w:ilvl w:val="0"/>
          <w:numId w:val="28"/>
        </w:numPr>
      </w:pPr>
      <w:r w:rsidRPr="00852AF6">
        <w:t xml:space="preserve">Treasury reserve ratio </w:t>
      </w:r>
    </w:p>
    <w:p w14:paraId="268FB9D3" w14:textId="77777777" w:rsidR="00852AF6" w:rsidRPr="00852AF6" w:rsidRDefault="00852AF6" w:rsidP="00852AF6">
      <w:pPr>
        <w:numPr>
          <w:ilvl w:val="0"/>
          <w:numId w:val="28"/>
        </w:numPr>
      </w:pPr>
      <w:r w:rsidRPr="00852AF6">
        <w:t xml:space="preserve">Available SLC/SPC liquidity </w:t>
      </w:r>
    </w:p>
    <w:p w14:paraId="72D8930A" w14:textId="77777777" w:rsidR="00852AF6" w:rsidRPr="00852AF6" w:rsidRDefault="00852AF6" w:rsidP="00852AF6">
      <w:pPr>
        <w:numPr>
          <w:ilvl w:val="0"/>
          <w:numId w:val="28"/>
        </w:numPr>
      </w:pPr>
      <w:r w:rsidRPr="00852AF6">
        <w:t xml:space="preserve">Daily redemption limits </w:t>
      </w:r>
    </w:p>
    <w:p w14:paraId="798DDA18" w14:textId="77777777" w:rsidR="00852AF6" w:rsidRPr="00852AF6" w:rsidRDefault="00852AF6" w:rsidP="00852AF6">
      <w:pPr>
        <w:numPr>
          <w:ilvl w:val="0"/>
          <w:numId w:val="28"/>
        </w:numPr>
      </w:pPr>
      <w:r w:rsidRPr="00852AF6">
        <w:t xml:space="preserve">Anti-bank-run circuit breakers </w:t>
      </w:r>
    </w:p>
    <w:p w14:paraId="51F4C779" w14:textId="77777777" w:rsidR="00852AF6" w:rsidRPr="00852AF6" w:rsidRDefault="00852AF6" w:rsidP="00852AF6">
      <w:pPr>
        <w:numPr>
          <w:ilvl w:val="0"/>
          <w:numId w:val="28"/>
        </w:numPr>
      </w:pPr>
      <w:r w:rsidRPr="00852AF6">
        <w:t xml:space="preserve">Governance-approved liquidity windows </w:t>
      </w:r>
    </w:p>
    <w:p w14:paraId="3695576E" w14:textId="77777777" w:rsidR="00852AF6" w:rsidRPr="00852AF6" w:rsidRDefault="00852AF6" w:rsidP="00852AF6">
      <w:pPr>
        <w:numPr>
          <w:ilvl w:val="0"/>
          <w:numId w:val="28"/>
        </w:numPr>
      </w:pPr>
      <w:r w:rsidRPr="00852AF6">
        <w:t xml:space="preserve">Compliance checks </w:t>
      </w:r>
    </w:p>
    <w:p w14:paraId="1A47F513" w14:textId="77777777" w:rsidR="00852AF6" w:rsidRPr="00852AF6" w:rsidRDefault="00852AF6" w:rsidP="00852AF6">
      <w:r w:rsidRPr="00852AF6">
        <w:t>Recommended positioning:</w:t>
      </w:r>
    </w:p>
    <w:p w14:paraId="559192C6" w14:textId="77777777" w:rsidR="00852AF6" w:rsidRPr="00852AF6" w:rsidRDefault="00852AF6" w:rsidP="00852AF6">
      <w:r w:rsidRPr="00852AF6">
        <w:t>Project S prioritizes early ecosystem contributors through a structured redemption queue designed to improve liquidity access while protecting treasury stability and long-term ecosystem sustainability.</w:t>
      </w:r>
    </w:p>
    <w:p w14:paraId="4CB88A99" w14:textId="77777777" w:rsidR="00852AF6" w:rsidRPr="00852AF6" w:rsidRDefault="00852AF6" w:rsidP="00852AF6">
      <w:r w:rsidRPr="00852AF6">
        <w:pict w14:anchorId="064A8803">
          <v:rect id="_x0000_i1185" style="width:0;height:1.5pt" o:hralign="center" o:hrstd="t" o:hr="t" fillcolor="#a0a0a0" stroked="f"/>
        </w:pict>
      </w:r>
    </w:p>
    <w:p w14:paraId="5EA9F329" w14:textId="77777777" w:rsidR="00852AF6" w:rsidRPr="00852AF6" w:rsidRDefault="00852AF6" w:rsidP="00852AF6">
      <w:pPr>
        <w:rPr>
          <w:b/>
          <w:bCs/>
        </w:rPr>
      </w:pPr>
      <w:r w:rsidRPr="00852AF6">
        <w:rPr>
          <w:b/>
          <w:bCs/>
        </w:rPr>
        <w:t>16. Governance</w:t>
      </w:r>
    </w:p>
    <w:p w14:paraId="38E25518" w14:textId="77777777" w:rsidR="00852AF6" w:rsidRPr="00852AF6" w:rsidRDefault="00852AF6" w:rsidP="00852AF6">
      <w:pPr>
        <w:rPr>
          <w:b/>
          <w:bCs/>
        </w:rPr>
      </w:pPr>
      <w:r w:rsidRPr="00852AF6">
        <w:rPr>
          <w:b/>
          <w:bCs/>
        </w:rPr>
        <w:t>16.1 Progressive Decentralization</w:t>
      </w:r>
    </w:p>
    <w:p w14:paraId="5DE75475" w14:textId="77777777" w:rsidR="00852AF6" w:rsidRPr="00852AF6" w:rsidRDefault="00852AF6" w:rsidP="00852AF6">
      <w:r w:rsidRPr="00852AF6">
        <w:t>Project S may begin with a foundation-led operating model and gradually evolve toward DAO governance.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4"/>
        <w:gridCol w:w="4783"/>
      </w:tblGrid>
      <w:tr w:rsidR="00852AF6" w:rsidRPr="00852AF6" w14:paraId="1F6A57D4" w14:textId="77777777">
        <w:trPr>
          <w:tblHeader/>
          <w:tblCellSpacing w:w="15" w:type="dxa"/>
        </w:trPr>
        <w:tc>
          <w:tcPr>
            <w:tcW w:w="0" w:type="auto"/>
            <w:vAlign w:val="center"/>
            <w:hideMark/>
          </w:tcPr>
          <w:p w14:paraId="0E9FE513" w14:textId="77777777" w:rsidR="00852AF6" w:rsidRPr="00852AF6" w:rsidRDefault="00852AF6" w:rsidP="00852AF6">
            <w:pPr>
              <w:rPr>
                <w:b/>
                <w:bCs/>
              </w:rPr>
            </w:pPr>
            <w:r w:rsidRPr="00852AF6">
              <w:rPr>
                <w:b/>
                <w:bCs/>
              </w:rPr>
              <w:t>Phase</w:t>
            </w:r>
          </w:p>
        </w:tc>
        <w:tc>
          <w:tcPr>
            <w:tcW w:w="0" w:type="auto"/>
            <w:vAlign w:val="center"/>
            <w:hideMark/>
          </w:tcPr>
          <w:p w14:paraId="2723B1D7" w14:textId="77777777" w:rsidR="00852AF6" w:rsidRPr="00852AF6" w:rsidRDefault="00852AF6" w:rsidP="00852AF6">
            <w:pPr>
              <w:rPr>
                <w:b/>
                <w:bCs/>
              </w:rPr>
            </w:pPr>
            <w:r w:rsidRPr="00852AF6">
              <w:rPr>
                <w:b/>
                <w:bCs/>
              </w:rPr>
              <w:t>Governance Model</w:t>
            </w:r>
          </w:p>
        </w:tc>
      </w:tr>
      <w:tr w:rsidR="00852AF6" w:rsidRPr="00852AF6" w14:paraId="6D926310" w14:textId="77777777">
        <w:trPr>
          <w:tblCellSpacing w:w="15" w:type="dxa"/>
        </w:trPr>
        <w:tc>
          <w:tcPr>
            <w:tcW w:w="0" w:type="auto"/>
            <w:vAlign w:val="center"/>
            <w:hideMark/>
          </w:tcPr>
          <w:p w14:paraId="4DB827DF" w14:textId="77777777" w:rsidR="00852AF6" w:rsidRPr="00852AF6" w:rsidRDefault="00852AF6" w:rsidP="00852AF6">
            <w:r w:rsidRPr="00852AF6">
              <w:t>Phase 1</w:t>
            </w:r>
          </w:p>
        </w:tc>
        <w:tc>
          <w:tcPr>
            <w:tcW w:w="0" w:type="auto"/>
            <w:vAlign w:val="center"/>
            <w:hideMark/>
          </w:tcPr>
          <w:p w14:paraId="2CDE7745" w14:textId="77777777" w:rsidR="00852AF6" w:rsidRPr="00852AF6" w:rsidRDefault="00852AF6" w:rsidP="00852AF6">
            <w:r w:rsidRPr="00852AF6">
              <w:t>Foundation multi-signature governance</w:t>
            </w:r>
          </w:p>
        </w:tc>
      </w:tr>
      <w:tr w:rsidR="00852AF6" w:rsidRPr="00852AF6" w14:paraId="29619F35" w14:textId="77777777">
        <w:trPr>
          <w:tblCellSpacing w:w="15" w:type="dxa"/>
        </w:trPr>
        <w:tc>
          <w:tcPr>
            <w:tcW w:w="0" w:type="auto"/>
            <w:vAlign w:val="center"/>
            <w:hideMark/>
          </w:tcPr>
          <w:p w14:paraId="23EF4437" w14:textId="77777777" w:rsidR="00852AF6" w:rsidRPr="00852AF6" w:rsidRDefault="00852AF6" w:rsidP="00852AF6">
            <w:r w:rsidRPr="00852AF6">
              <w:t>Phase 2</w:t>
            </w:r>
          </w:p>
        </w:tc>
        <w:tc>
          <w:tcPr>
            <w:tcW w:w="0" w:type="auto"/>
            <w:vAlign w:val="center"/>
            <w:hideMark/>
          </w:tcPr>
          <w:p w14:paraId="2D18BEEF" w14:textId="77777777" w:rsidR="00852AF6" w:rsidRPr="00852AF6" w:rsidRDefault="00852AF6" w:rsidP="00852AF6">
            <w:r w:rsidRPr="00852AF6">
              <w:t>Advisory council and audit committee</w:t>
            </w:r>
          </w:p>
        </w:tc>
      </w:tr>
      <w:tr w:rsidR="00852AF6" w:rsidRPr="00852AF6" w14:paraId="0AC37FAE" w14:textId="77777777">
        <w:trPr>
          <w:tblCellSpacing w:w="15" w:type="dxa"/>
        </w:trPr>
        <w:tc>
          <w:tcPr>
            <w:tcW w:w="0" w:type="auto"/>
            <w:vAlign w:val="center"/>
            <w:hideMark/>
          </w:tcPr>
          <w:p w14:paraId="21257991" w14:textId="77777777" w:rsidR="00852AF6" w:rsidRPr="00852AF6" w:rsidRDefault="00852AF6" w:rsidP="00852AF6">
            <w:r w:rsidRPr="00852AF6">
              <w:t>Phase 3</w:t>
            </w:r>
          </w:p>
        </w:tc>
        <w:tc>
          <w:tcPr>
            <w:tcW w:w="0" w:type="auto"/>
            <w:vAlign w:val="center"/>
            <w:hideMark/>
          </w:tcPr>
          <w:p w14:paraId="35B563D4" w14:textId="77777777" w:rsidR="00852AF6" w:rsidRPr="00852AF6" w:rsidRDefault="00852AF6" w:rsidP="00852AF6">
            <w:r w:rsidRPr="00852AF6">
              <w:t>SLC holder proposal rights</w:t>
            </w:r>
          </w:p>
        </w:tc>
      </w:tr>
      <w:tr w:rsidR="00852AF6" w:rsidRPr="00852AF6" w14:paraId="505684DC" w14:textId="77777777">
        <w:trPr>
          <w:tblCellSpacing w:w="15" w:type="dxa"/>
        </w:trPr>
        <w:tc>
          <w:tcPr>
            <w:tcW w:w="0" w:type="auto"/>
            <w:vAlign w:val="center"/>
            <w:hideMark/>
          </w:tcPr>
          <w:p w14:paraId="0905EA84" w14:textId="77777777" w:rsidR="00852AF6" w:rsidRPr="00852AF6" w:rsidRDefault="00852AF6" w:rsidP="00852AF6">
            <w:r w:rsidRPr="00852AF6">
              <w:t>Phase 4</w:t>
            </w:r>
          </w:p>
        </w:tc>
        <w:tc>
          <w:tcPr>
            <w:tcW w:w="0" w:type="auto"/>
            <w:vAlign w:val="center"/>
            <w:hideMark/>
          </w:tcPr>
          <w:p w14:paraId="43027530" w14:textId="77777777" w:rsidR="00852AF6" w:rsidRPr="00852AF6" w:rsidRDefault="00852AF6" w:rsidP="00852AF6">
            <w:r w:rsidRPr="00852AF6">
              <w:t xml:space="preserve">SPC </w:t>
            </w:r>
            <w:proofErr w:type="spellStart"/>
            <w:r w:rsidRPr="00852AF6">
              <w:t>staker</w:t>
            </w:r>
            <w:proofErr w:type="spellEnd"/>
            <w:r w:rsidRPr="00852AF6">
              <w:t xml:space="preserve"> participation</w:t>
            </w:r>
          </w:p>
        </w:tc>
      </w:tr>
      <w:tr w:rsidR="00852AF6" w:rsidRPr="00852AF6" w14:paraId="31776CEA" w14:textId="77777777">
        <w:trPr>
          <w:tblCellSpacing w:w="15" w:type="dxa"/>
        </w:trPr>
        <w:tc>
          <w:tcPr>
            <w:tcW w:w="0" w:type="auto"/>
            <w:vAlign w:val="center"/>
            <w:hideMark/>
          </w:tcPr>
          <w:p w14:paraId="2233BE45" w14:textId="77777777" w:rsidR="00852AF6" w:rsidRPr="00852AF6" w:rsidRDefault="00852AF6" w:rsidP="00852AF6">
            <w:r w:rsidRPr="00852AF6">
              <w:t>Phase 5</w:t>
            </w:r>
          </w:p>
        </w:tc>
        <w:tc>
          <w:tcPr>
            <w:tcW w:w="0" w:type="auto"/>
            <w:vAlign w:val="center"/>
            <w:hideMark/>
          </w:tcPr>
          <w:p w14:paraId="36172872" w14:textId="77777777" w:rsidR="00852AF6" w:rsidRPr="00852AF6" w:rsidRDefault="00852AF6" w:rsidP="00852AF6">
            <w:r w:rsidRPr="00852AF6">
              <w:t>DAO-controlled treasury and asset onboarding</w:t>
            </w:r>
          </w:p>
        </w:tc>
      </w:tr>
    </w:tbl>
    <w:p w14:paraId="4D9A1C22" w14:textId="77777777" w:rsidR="00852AF6" w:rsidRPr="00852AF6" w:rsidRDefault="00852AF6" w:rsidP="00852AF6">
      <w:pPr>
        <w:rPr>
          <w:b/>
          <w:bCs/>
        </w:rPr>
      </w:pPr>
      <w:r w:rsidRPr="00852AF6">
        <w:rPr>
          <w:b/>
          <w:bCs/>
        </w:rPr>
        <w:t>16.2 Governance Scope</w:t>
      </w:r>
    </w:p>
    <w:p w14:paraId="2C361700" w14:textId="77777777" w:rsidR="00852AF6" w:rsidRPr="00852AF6" w:rsidRDefault="00852AF6" w:rsidP="00852AF6">
      <w:r w:rsidRPr="00852AF6">
        <w:t>Governance may cover:</w:t>
      </w:r>
    </w:p>
    <w:p w14:paraId="321D1BE4" w14:textId="77777777" w:rsidR="00852AF6" w:rsidRPr="00852AF6" w:rsidRDefault="00852AF6" w:rsidP="00852AF6">
      <w:pPr>
        <w:numPr>
          <w:ilvl w:val="0"/>
          <w:numId w:val="29"/>
        </w:numPr>
      </w:pPr>
      <w:r w:rsidRPr="00852AF6">
        <w:t xml:space="preserve">Buyback ratio </w:t>
      </w:r>
    </w:p>
    <w:p w14:paraId="21C3B8D8" w14:textId="77777777" w:rsidR="00852AF6" w:rsidRPr="00852AF6" w:rsidRDefault="00852AF6" w:rsidP="00852AF6">
      <w:pPr>
        <w:numPr>
          <w:ilvl w:val="0"/>
          <w:numId w:val="29"/>
        </w:numPr>
      </w:pPr>
      <w:r w:rsidRPr="00852AF6">
        <w:t xml:space="preserve">Reward cap </w:t>
      </w:r>
    </w:p>
    <w:p w14:paraId="6C970717" w14:textId="77777777" w:rsidR="00852AF6" w:rsidRPr="00852AF6" w:rsidRDefault="00852AF6" w:rsidP="00852AF6">
      <w:pPr>
        <w:numPr>
          <w:ilvl w:val="0"/>
          <w:numId w:val="29"/>
        </w:numPr>
      </w:pPr>
      <w:r w:rsidRPr="00852AF6">
        <w:t xml:space="preserve">Reserve coverage threshold </w:t>
      </w:r>
    </w:p>
    <w:p w14:paraId="78F7E846" w14:textId="77777777" w:rsidR="00852AF6" w:rsidRPr="00852AF6" w:rsidRDefault="00852AF6" w:rsidP="00852AF6">
      <w:pPr>
        <w:numPr>
          <w:ilvl w:val="0"/>
          <w:numId w:val="29"/>
        </w:numPr>
      </w:pPr>
      <w:r w:rsidRPr="00852AF6">
        <w:t xml:space="preserve">New solar asset onboarding </w:t>
      </w:r>
    </w:p>
    <w:p w14:paraId="5996CD6C" w14:textId="77777777" w:rsidR="00852AF6" w:rsidRPr="00852AF6" w:rsidRDefault="00852AF6" w:rsidP="00852AF6">
      <w:pPr>
        <w:numPr>
          <w:ilvl w:val="0"/>
          <w:numId w:val="29"/>
        </w:numPr>
      </w:pPr>
      <w:r w:rsidRPr="00852AF6">
        <w:t xml:space="preserve">EV charging campaign budget </w:t>
      </w:r>
    </w:p>
    <w:p w14:paraId="09539C27" w14:textId="77777777" w:rsidR="00852AF6" w:rsidRPr="00852AF6" w:rsidRDefault="00852AF6" w:rsidP="00852AF6">
      <w:pPr>
        <w:numPr>
          <w:ilvl w:val="0"/>
          <w:numId w:val="29"/>
        </w:numPr>
      </w:pPr>
      <w:r w:rsidRPr="00852AF6">
        <w:t xml:space="preserve">Treasury spending </w:t>
      </w:r>
    </w:p>
    <w:p w14:paraId="679A3791" w14:textId="77777777" w:rsidR="00852AF6" w:rsidRPr="00852AF6" w:rsidRDefault="00852AF6" w:rsidP="00852AF6">
      <w:pPr>
        <w:numPr>
          <w:ilvl w:val="0"/>
          <w:numId w:val="29"/>
        </w:numPr>
      </w:pPr>
      <w:r w:rsidRPr="00852AF6">
        <w:t xml:space="preserve">Oracle provider selection </w:t>
      </w:r>
    </w:p>
    <w:p w14:paraId="2252A6BF" w14:textId="77777777" w:rsidR="00852AF6" w:rsidRPr="00852AF6" w:rsidRDefault="00852AF6" w:rsidP="00852AF6">
      <w:pPr>
        <w:numPr>
          <w:ilvl w:val="0"/>
          <w:numId w:val="29"/>
        </w:numPr>
      </w:pPr>
      <w:r w:rsidRPr="00852AF6">
        <w:t xml:space="preserve">Bridge activation </w:t>
      </w:r>
    </w:p>
    <w:p w14:paraId="57D3A488" w14:textId="77777777" w:rsidR="00852AF6" w:rsidRPr="00852AF6" w:rsidRDefault="00852AF6" w:rsidP="00852AF6">
      <w:pPr>
        <w:numPr>
          <w:ilvl w:val="0"/>
          <w:numId w:val="29"/>
        </w:numPr>
      </w:pPr>
      <w:r w:rsidRPr="00852AF6">
        <w:t xml:space="preserve">Risk parameter updates </w:t>
      </w:r>
    </w:p>
    <w:p w14:paraId="6D5BE99E" w14:textId="77777777" w:rsidR="00852AF6" w:rsidRPr="00852AF6" w:rsidRDefault="00852AF6" w:rsidP="00852AF6">
      <w:pPr>
        <w:numPr>
          <w:ilvl w:val="0"/>
          <w:numId w:val="29"/>
        </w:numPr>
      </w:pPr>
      <w:r w:rsidRPr="00852AF6">
        <w:t xml:space="preserve">Protocol fee structure </w:t>
      </w:r>
    </w:p>
    <w:p w14:paraId="7A1E4808" w14:textId="77777777" w:rsidR="00852AF6" w:rsidRPr="00852AF6" w:rsidRDefault="00852AF6" w:rsidP="00852AF6">
      <w:pPr>
        <w:rPr>
          <w:b/>
          <w:bCs/>
        </w:rPr>
      </w:pPr>
      <w:r w:rsidRPr="00852AF6">
        <w:rPr>
          <w:b/>
          <w:bCs/>
        </w:rPr>
        <w:t>16.3 Governance Safeguards</w:t>
      </w:r>
    </w:p>
    <w:p w14:paraId="76BE6200" w14:textId="77777777" w:rsidR="00852AF6" w:rsidRPr="00852AF6" w:rsidRDefault="00852AF6" w:rsidP="00852AF6">
      <w:r w:rsidRPr="00852AF6">
        <w:t>To avoid governance attacks, Project S should implement:</w:t>
      </w:r>
    </w:p>
    <w:p w14:paraId="00C28706" w14:textId="77777777" w:rsidR="00852AF6" w:rsidRPr="00852AF6" w:rsidRDefault="00852AF6" w:rsidP="00852AF6">
      <w:pPr>
        <w:numPr>
          <w:ilvl w:val="0"/>
          <w:numId w:val="30"/>
        </w:numPr>
      </w:pPr>
      <w:r w:rsidRPr="00852AF6">
        <w:t xml:space="preserve">Minimum proposal threshold </w:t>
      </w:r>
    </w:p>
    <w:p w14:paraId="41C2AFBF" w14:textId="77777777" w:rsidR="00852AF6" w:rsidRPr="00852AF6" w:rsidRDefault="00852AF6" w:rsidP="00852AF6">
      <w:pPr>
        <w:numPr>
          <w:ilvl w:val="0"/>
          <w:numId w:val="30"/>
        </w:numPr>
      </w:pPr>
      <w:r w:rsidRPr="00852AF6">
        <w:t xml:space="preserve">Time-weighted voting </w:t>
      </w:r>
    </w:p>
    <w:p w14:paraId="64DCFF90" w14:textId="77777777" w:rsidR="00852AF6" w:rsidRPr="00852AF6" w:rsidRDefault="00852AF6" w:rsidP="00852AF6">
      <w:pPr>
        <w:numPr>
          <w:ilvl w:val="0"/>
          <w:numId w:val="30"/>
        </w:numPr>
      </w:pPr>
      <w:r w:rsidRPr="00852AF6">
        <w:t xml:space="preserve">Staking-based voting eligibility </w:t>
      </w:r>
    </w:p>
    <w:p w14:paraId="0D452011" w14:textId="77777777" w:rsidR="00852AF6" w:rsidRPr="00852AF6" w:rsidRDefault="00852AF6" w:rsidP="00852AF6">
      <w:pPr>
        <w:numPr>
          <w:ilvl w:val="0"/>
          <w:numId w:val="30"/>
        </w:numPr>
      </w:pPr>
      <w:proofErr w:type="spellStart"/>
      <w:r w:rsidRPr="00852AF6">
        <w:t>Timelock</w:t>
      </w:r>
      <w:proofErr w:type="spellEnd"/>
      <w:r w:rsidRPr="00852AF6">
        <w:t xml:space="preserve"> execution </w:t>
      </w:r>
    </w:p>
    <w:p w14:paraId="2FEBDD1B" w14:textId="77777777" w:rsidR="00852AF6" w:rsidRPr="00852AF6" w:rsidRDefault="00852AF6" w:rsidP="00852AF6">
      <w:pPr>
        <w:numPr>
          <w:ilvl w:val="0"/>
          <w:numId w:val="30"/>
        </w:numPr>
      </w:pPr>
      <w:r w:rsidRPr="00852AF6">
        <w:t xml:space="preserve">Emergency veto committee during early phases </w:t>
      </w:r>
    </w:p>
    <w:p w14:paraId="068E1FBE" w14:textId="77777777" w:rsidR="00852AF6" w:rsidRPr="00852AF6" w:rsidRDefault="00852AF6" w:rsidP="00852AF6">
      <w:pPr>
        <w:numPr>
          <w:ilvl w:val="0"/>
          <w:numId w:val="30"/>
        </w:numPr>
      </w:pPr>
      <w:r w:rsidRPr="00852AF6">
        <w:t xml:space="preserve">Public governance dashboard </w:t>
      </w:r>
    </w:p>
    <w:p w14:paraId="156461B7" w14:textId="77777777" w:rsidR="00852AF6" w:rsidRPr="00852AF6" w:rsidRDefault="00852AF6" w:rsidP="00852AF6">
      <w:r w:rsidRPr="00852AF6">
        <w:pict w14:anchorId="745083D9">
          <v:rect id="_x0000_i1186" style="width:0;height:1.5pt" o:hralign="center" o:hrstd="t" o:hr="t" fillcolor="#a0a0a0" stroked="f"/>
        </w:pict>
      </w:r>
    </w:p>
    <w:p w14:paraId="47056AF8" w14:textId="77777777" w:rsidR="00852AF6" w:rsidRPr="00852AF6" w:rsidRDefault="00852AF6" w:rsidP="00852AF6">
      <w:pPr>
        <w:rPr>
          <w:b/>
          <w:bCs/>
        </w:rPr>
      </w:pPr>
      <w:r w:rsidRPr="00852AF6">
        <w:rPr>
          <w:b/>
          <w:bCs/>
        </w:rPr>
        <w:t>17. Security Architecture</w:t>
      </w:r>
    </w:p>
    <w:p w14:paraId="35E57C7E" w14:textId="77777777" w:rsidR="00852AF6" w:rsidRPr="00852AF6" w:rsidRDefault="00852AF6" w:rsidP="00852AF6">
      <w:pPr>
        <w:rPr>
          <w:b/>
          <w:bCs/>
        </w:rPr>
      </w:pPr>
      <w:r w:rsidRPr="00852AF6">
        <w:rPr>
          <w:b/>
          <w:bCs/>
        </w:rPr>
        <w:t>17.1 Smart Contract Security</w:t>
      </w:r>
    </w:p>
    <w:p w14:paraId="3FE5C3CB" w14:textId="77777777" w:rsidR="00852AF6" w:rsidRPr="00852AF6" w:rsidRDefault="00852AF6" w:rsidP="00852AF6">
      <w:r w:rsidRPr="00852AF6">
        <w:t>Project S should implement institutional-grade smart contract security.</w:t>
      </w:r>
    </w:p>
    <w:p w14:paraId="6C950A4D" w14:textId="77777777" w:rsidR="00852AF6" w:rsidRPr="00852AF6" w:rsidRDefault="00852AF6" w:rsidP="00852AF6">
      <w:r w:rsidRPr="00852AF6">
        <w:t>Recommended controls:</w:t>
      </w:r>
    </w:p>
    <w:p w14:paraId="2CB917B9" w14:textId="77777777" w:rsidR="00852AF6" w:rsidRPr="00852AF6" w:rsidRDefault="00852AF6" w:rsidP="00852AF6">
      <w:pPr>
        <w:numPr>
          <w:ilvl w:val="0"/>
          <w:numId w:val="31"/>
        </w:numPr>
      </w:pPr>
      <w:r w:rsidRPr="00852AF6">
        <w:t xml:space="preserve">Two or more external audits </w:t>
      </w:r>
    </w:p>
    <w:p w14:paraId="53CFCF79" w14:textId="77777777" w:rsidR="00852AF6" w:rsidRPr="00852AF6" w:rsidRDefault="00852AF6" w:rsidP="00852AF6">
      <w:pPr>
        <w:numPr>
          <w:ilvl w:val="0"/>
          <w:numId w:val="31"/>
        </w:numPr>
      </w:pPr>
      <w:r w:rsidRPr="00852AF6">
        <w:t xml:space="preserve">Formal verification for critical contracts </w:t>
      </w:r>
    </w:p>
    <w:p w14:paraId="665748CB" w14:textId="77777777" w:rsidR="00852AF6" w:rsidRPr="00852AF6" w:rsidRDefault="00852AF6" w:rsidP="00852AF6">
      <w:pPr>
        <w:numPr>
          <w:ilvl w:val="0"/>
          <w:numId w:val="31"/>
        </w:numPr>
      </w:pPr>
      <w:proofErr w:type="spellStart"/>
      <w:r w:rsidRPr="00852AF6">
        <w:t>Timelock</w:t>
      </w:r>
      <w:proofErr w:type="spellEnd"/>
      <w:r w:rsidRPr="00852AF6">
        <w:t xml:space="preserve"> for admin functions </w:t>
      </w:r>
    </w:p>
    <w:p w14:paraId="3D908CE8" w14:textId="77777777" w:rsidR="00852AF6" w:rsidRPr="00852AF6" w:rsidRDefault="00852AF6" w:rsidP="00852AF6">
      <w:pPr>
        <w:numPr>
          <w:ilvl w:val="0"/>
          <w:numId w:val="31"/>
        </w:numPr>
      </w:pPr>
      <w:r w:rsidRPr="00852AF6">
        <w:t xml:space="preserve">Multi-signature governance </w:t>
      </w:r>
    </w:p>
    <w:p w14:paraId="6D7A6F1A" w14:textId="77777777" w:rsidR="00852AF6" w:rsidRPr="00852AF6" w:rsidRDefault="00852AF6" w:rsidP="00852AF6">
      <w:pPr>
        <w:numPr>
          <w:ilvl w:val="0"/>
          <w:numId w:val="31"/>
        </w:numPr>
      </w:pPr>
      <w:r w:rsidRPr="00852AF6">
        <w:t xml:space="preserve">Upgradeability controls </w:t>
      </w:r>
    </w:p>
    <w:p w14:paraId="0D053BF3" w14:textId="77777777" w:rsidR="00852AF6" w:rsidRPr="00852AF6" w:rsidRDefault="00852AF6" w:rsidP="00852AF6">
      <w:pPr>
        <w:numPr>
          <w:ilvl w:val="0"/>
          <w:numId w:val="31"/>
        </w:numPr>
      </w:pPr>
      <w:proofErr w:type="spellStart"/>
      <w:r w:rsidRPr="00852AF6">
        <w:t>Pausable</w:t>
      </w:r>
      <w:proofErr w:type="spellEnd"/>
      <w:r w:rsidRPr="00852AF6">
        <w:t xml:space="preserve"> emergency module </w:t>
      </w:r>
    </w:p>
    <w:p w14:paraId="1CD9845D" w14:textId="77777777" w:rsidR="00852AF6" w:rsidRPr="00852AF6" w:rsidRDefault="00852AF6" w:rsidP="00852AF6">
      <w:pPr>
        <w:numPr>
          <w:ilvl w:val="0"/>
          <w:numId w:val="31"/>
        </w:numPr>
      </w:pPr>
      <w:r w:rsidRPr="00852AF6">
        <w:t xml:space="preserve">Reentrancy protection </w:t>
      </w:r>
    </w:p>
    <w:p w14:paraId="5FB7A845" w14:textId="77777777" w:rsidR="00852AF6" w:rsidRPr="00852AF6" w:rsidRDefault="00852AF6" w:rsidP="00852AF6">
      <w:pPr>
        <w:numPr>
          <w:ilvl w:val="0"/>
          <w:numId w:val="31"/>
        </w:numPr>
      </w:pPr>
      <w:r w:rsidRPr="00852AF6">
        <w:t xml:space="preserve">Oracle manipulation protection </w:t>
      </w:r>
    </w:p>
    <w:p w14:paraId="23BF39A8" w14:textId="77777777" w:rsidR="00852AF6" w:rsidRPr="00852AF6" w:rsidRDefault="00852AF6" w:rsidP="00852AF6">
      <w:pPr>
        <w:numPr>
          <w:ilvl w:val="0"/>
          <w:numId w:val="31"/>
        </w:numPr>
      </w:pPr>
      <w:r w:rsidRPr="00852AF6">
        <w:t xml:space="preserve">DEX slippage protection </w:t>
      </w:r>
    </w:p>
    <w:p w14:paraId="7A13ACA8" w14:textId="77777777" w:rsidR="00852AF6" w:rsidRPr="00852AF6" w:rsidRDefault="00852AF6" w:rsidP="00852AF6">
      <w:pPr>
        <w:numPr>
          <w:ilvl w:val="0"/>
          <w:numId w:val="31"/>
        </w:numPr>
      </w:pPr>
      <w:r w:rsidRPr="00852AF6">
        <w:t xml:space="preserve">Circuit breaker for abnormal activity </w:t>
      </w:r>
    </w:p>
    <w:p w14:paraId="5FD3A5EF" w14:textId="77777777" w:rsidR="00852AF6" w:rsidRPr="00852AF6" w:rsidRDefault="00852AF6" w:rsidP="00852AF6">
      <w:pPr>
        <w:rPr>
          <w:b/>
          <w:bCs/>
        </w:rPr>
      </w:pPr>
      <w:r w:rsidRPr="00852AF6">
        <w:rPr>
          <w:b/>
          <w:bCs/>
        </w:rPr>
        <w:t>17.2 Treasury Security</w:t>
      </w:r>
    </w:p>
    <w:p w14:paraId="5591BA3C" w14:textId="77777777" w:rsidR="00852AF6" w:rsidRPr="00852AF6" w:rsidRDefault="00852AF6" w:rsidP="00852AF6">
      <w:r w:rsidRPr="00852AF6">
        <w:t>Treasury assets should be managed through transparent and secure controls.</w:t>
      </w:r>
    </w:p>
    <w:p w14:paraId="52A265AA" w14:textId="77777777" w:rsidR="00852AF6" w:rsidRPr="00852AF6" w:rsidRDefault="00852AF6" w:rsidP="00852AF6">
      <w:r w:rsidRPr="00852AF6">
        <w:t>Recommended controls:</w:t>
      </w:r>
    </w:p>
    <w:p w14:paraId="3B230ABE" w14:textId="77777777" w:rsidR="00852AF6" w:rsidRPr="00852AF6" w:rsidRDefault="00852AF6" w:rsidP="00852AF6">
      <w:pPr>
        <w:numPr>
          <w:ilvl w:val="0"/>
          <w:numId w:val="32"/>
        </w:numPr>
      </w:pPr>
      <w:r w:rsidRPr="00852AF6">
        <w:t xml:space="preserve">3-of-5 or 4-of-7 multi-signature wallet </w:t>
      </w:r>
    </w:p>
    <w:p w14:paraId="4A5FE8A6" w14:textId="77777777" w:rsidR="00852AF6" w:rsidRPr="00852AF6" w:rsidRDefault="00852AF6" w:rsidP="00852AF6">
      <w:pPr>
        <w:numPr>
          <w:ilvl w:val="0"/>
          <w:numId w:val="32"/>
        </w:numPr>
      </w:pPr>
      <w:r w:rsidRPr="00852AF6">
        <w:t xml:space="preserve">Cold wallet segregation </w:t>
      </w:r>
    </w:p>
    <w:p w14:paraId="5C6D0909" w14:textId="77777777" w:rsidR="00852AF6" w:rsidRPr="00852AF6" w:rsidRDefault="00852AF6" w:rsidP="00852AF6">
      <w:pPr>
        <w:numPr>
          <w:ilvl w:val="0"/>
          <w:numId w:val="32"/>
        </w:numPr>
      </w:pPr>
      <w:r w:rsidRPr="00852AF6">
        <w:t xml:space="preserve">Public treasury dashboard </w:t>
      </w:r>
    </w:p>
    <w:p w14:paraId="5E008B37" w14:textId="77777777" w:rsidR="00852AF6" w:rsidRPr="00852AF6" w:rsidRDefault="00852AF6" w:rsidP="00852AF6">
      <w:pPr>
        <w:numPr>
          <w:ilvl w:val="0"/>
          <w:numId w:val="32"/>
        </w:numPr>
      </w:pPr>
      <w:r w:rsidRPr="00852AF6">
        <w:t xml:space="preserve">Monthly reserve report </w:t>
      </w:r>
    </w:p>
    <w:p w14:paraId="55E99ADD" w14:textId="77777777" w:rsidR="00852AF6" w:rsidRPr="00852AF6" w:rsidRDefault="00852AF6" w:rsidP="00852AF6">
      <w:pPr>
        <w:numPr>
          <w:ilvl w:val="0"/>
          <w:numId w:val="32"/>
        </w:numPr>
      </w:pPr>
      <w:r w:rsidRPr="00852AF6">
        <w:t xml:space="preserve">Pre-disclosed large treasury movements </w:t>
      </w:r>
    </w:p>
    <w:p w14:paraId="7DE700F9" w14:textId="77777777" w:rsidR="00852AF6" w:rsidRPr="00852AF6" w:rsidRDefault="00852AF6" w:rsidP="00852AF6">
      <w:pPr>
        <w:numPr>
          <w:ilvl w:val="0"/>
          <w:numId w:val="32"/>
        </w:numPr>
      </w:pPr>
      <w:r w:rsidRPr="00852AF6">
        <w:t xml:space="preserve">Third-party balance verification </w:t>
      </w:r>
    </w:p>
    <w:p w14:paraId="221D57DB" w14:textId="77777777" w:rsidR="00852AF6" w:rsidRPr="00852AF6" w:rsidRDefault="00852AF6" w:rsidP="00852AF6">
      <w:pPr>
        <w:numPr>
          <w:ilvl w:val="0"/>
          <w:numId w:val="32"/>
        </w:numPr>
      </w:pPr>
      <w:r w:rsidRPr="00852AF6">
        <w:t xml:space="preserve">Segregated operational and reserve accounts </w:t>
      </w:r>
    </w:p>
    <w:p w14:paraId="5AC028BA" w14:textId="77777777" w:rsidR="00852AF6" w:rsidRPr="00852AF6" w:rsidRDefault="00852AF6" w:rsidP="00852AF6">
      <w:pPr>
        <w:rPr>
          <w:b/>
          <w:bCs/>
        </w:rPr>
      </w:pPr>
      <w:r w:rsidRPr="00852AF6">
        <w:rPr>
          <w:b/>
          <w:bCs/>
        </w:rPr>
        <w:t>17.3 Oracle Security</w:t>
      </w:r>
    </w:p>
    <w:p w14:paraId="18E73BF1" w14:textId="77777777" w:rsidR="00852AF6" w:rsidRPr="00852AF6" w:rsidRDefault="00852AF6" w:rsidP="00852AF6">
      <w:r w:rsidRPr="00852AF6">
        <w:t>Oracle integrity is critical for RWA protocols.</w:t>
      </w:r>
    </w:p>
    <w:p w14:paraId="79F35441" w14:textId="77777777" w:rsidR="00852AF6" w:rsidRPr="00852AF6" w:rsidRDefault="00852AF6" w:rsidP="00852AF6">
      <w:r w:rsidRPr="00852AF6">
        <w:t>Recommended controls:</w:t>
      </w:r>
    </w:p>
    <w:p w14:paraId="06F43B4D" w14:textId="77777777" w:rsidR="00852AF6" w:rsidRPr="00852AF6" w:rsidRDefault="00852AF6" w:rsidP="00852AF6">
      <w:pPr>
        <w:numPr>
          <w:ilvl w:val="0"/>
          <w:numId w:val="33"/>
        </w:numPr>
      </w:pPr>
      <w:r w:rsidRPr="00852AF6">
        <w:t xml:space="preserve">Multiple data providers </w:t>
      </w:r>
    </w:p>
    <w:p w14:paraId="6293ABD9" w14:textId="77777777" w:rsidR="00852AF6" w:rsidRPr="00852AF6" w:rsidRDefault="00852AF6" w:rsidP="00852AF6">
      <w:pPr>
        <w:numPr>
          <w:ilvl w:val="0"/>
          <w:numId w:val="33"/>
        </w:numPr>
      </w:pPr>
      <w:r w:rsidRPr="00852AF6">
        <w:t xml:space="preserve">Signed data attestations </w:t>
      </w:r>
    </w:p>
    <w:p w14:paraId="56348A7C" w14:textId="77777777" w:rsidR="00852AF6" w:rsidRPr="00852AF6" w:rsidRDefault="00852AF6" w:rsidP="00852AF6">
      <w:pPr>
        <w:numPr>
          <w:ilvl w:val="0"/>
          <w:numId w:val="33"/>
        </w:numPr>
      </w:pPr>
      <w:r w:rsidRPr="00852AF6">
        <w:t xml:space="preserve">On-chain data hashing </w:t>
      </w:r>
    </w:p>
    <w:p w14:paraId="38B18B0B" w14:textId="77777777" w:rsidR="00852AF6" w:rsidRPr="00852AF6" w:rsidRDefault="00852AF6" w:rsidP="00852AF6">
      <w:pPr>
        <w:numPr>
          <w:ilvl w:val="0"/>
          <w:numId w:val="33"/>
        </w:numPr>
      </w:pPr>
      <w:r w:rsidRPr="00852AF6">
        <w:t xml:space="preserve">Abnormal value detection </w:t>
      </w:r>
    </w:p>
    <w:p w14:paraId="0E2FF03A" w14:textId="77777777" w:rsidR="00852AF6" w:rsidRPr="00852AF6" w:rsidRDefault="00852AF6" w:rsidP="00852AF6">
      <w:pPr>
        <w:numPr>
          <w:ilvl w:val="0"/>
          <w:numId w:val="33"/>
        </w:numPr>
      </w:pPr>
      <w:r w:rsidRPr="00852AF6">
        <w:t xml:space="preserve">Oracle provider slashing </w:t>
      </w:r>
    </w:p>
    <w:p w14:paraId="601FA2A2" w14:textId="77777777" w:rsidR="00852AF6" w:rsidRPr="00852AF6" w:rsidRDefault="00852AF6" w:rsidP="00852AF6">
      <w:pPr>
        <w:numPr>
          <w:ilvl w:val="0"/>
          <w:numId w:val="33"/>
        </w:numPr>
      </w:pPr>
      <w:r w:rsidRPr="00852AF6">
        <w:t xml:space="preserve">Manual verification committee </w:t>
      </w:r>
    </w:p>
    <w:p w14:paraId="38AEF838" w14:textId="77777777" w:rsidR="00852AF6" w:rsidRPr="00852AF6" w:rsidRDefault="00852AF6" w:rsidP="00852AF6">
      <w:pPr>
        <w:numPr>
          <w:ilvl w:val="0"/>
          <w:numId w:val="33"/>
        </w:numPr>
      </w:pPr>
      <w:r w:rsidRPr="00852AF6">
        <w:t xml:space="preserve">Emergency oracle freeze function </w:t>
      </w:r>
    </w:p>
    <w:p w14:paraId="2B754E3E" w14:textId="77777777" w:rsidR="00852AF6" w:rsidRPr="00852AF6" w:rsidRDefault="00852AF6" w:rsidP="00852AF6">
      <w:pPr>
        <w:numPr>
          <w:ilvl w:val="0"/>
          <w:numId w:val="33"/>
        </w:numPr>
      </w:pPr>
      <w:r w:rsidRPr="00852AF6">
        <w:t xml:space="preserve">Fallback data path </w:t>
      </w:r>
    </w:p>
    <w:p w14:paraId="4E476874" w14:textId="77777777" w:rsidR="00852AF6" w:rsidRPr="00852AF6" w:rsidRDefault="00852AF6" w:rsidP="00852AF6">
      <w:r w:rsidRPr="00852AF6">
        <w:pict w14:anchorId="4FDF14D7">
          <v:rect id="_x0000_i1187" style="width:0;height:1.5pt" o:hralign="center" o:hrstd="t" o:hr="t" fillcolor="#a0a0a0" stroked="f"/>
        </w:pict>
      </w:r>
    </w:p>
    <w:p w14:paraId="247F125E" w14:textId="77777777" w:rsidR="00852AF6" w:rsidRPr="00852AF6" w:rsidRDefault="00852AF6" w:rsidP="00852AF6">
      <w:pPr>
        <w:rPr>
          <w:b/>
          <w:bCs/>
        </w:rPr>
      </w:pPr>
      <w:r w:rsidRPr="00852AF6">
        <w:rPr>
          <w:b/>
          <w:bCs/>
        </w:rPr>
        <w:t>18. Compliance and Disclosure Framework</w:t>
      </w:r>
    </w:p>
    <w:p w14:paraId="39F06D07" w14:textId="77777777" w:rsidR="00852AF6" w:rsidRPr="00852AF6" w:rsidRDefault="00852AF6" w:rsidP="00852AF6">
      <w:pPr>
        <w:rPr>
          <w:b/>
          <w:bCs/>
        </w:rPr>
      </w:pPr>
      <w:r w:rsidRPr="00852AF6">
        <w:rPr>
          <w:b/>
          <w:bCs/>
        </w:rPr>
        <w:t>18.1 Required Documentation</w:t>
      </w:r>
    </w:p>
    <w:p w14:paraId="579366F4" w14:textId="77777777" w:rsidR="00852AF6" w:rsidRPr="00852AF6" w:rsidRDefault="00852AF6" w:rsidP="00852AF6">
      <w:r w:rsidRPr="00852AF6">
        <w:t>Before large-scale fundraising or public distribution, Project S should prepare:</w:t>
      </w:r>
    </w:p>
    <w:p w14:paraId="4CE18E6F" w14:textId="77777777" w:rsidR="00852AF6" w:rsidRPr="00852AF6" w:rsidRDefault="00852AF6" w:rsidP="00852AF6">
      <w:pPr>
        <w:numPr>
          <w:ilvl w:val="0"/>
          <w:numId w:val="34"/>
        </w:numPr>
      </w:pPr>
      <w:r w:rsidRPr="00852AF6">
        <w:t xml:space="preserve">Solar asset ownership documents </w:t>
      </w:r>
    </w:p>
    <w:p w14:paraId="04221278" w14:textId="77777777" w:rsidR="00852AF6" w:rsidRPr="00852AF6" w:rsidRDefault="00852AF6" w:rsidP="00852AF6">
      <w:pPr>
        <w:numPr>
          <w:ilvl w:val="0"/>
          <w:numId w:val="34"/>
        </w:numPr>
      </w:pPr>
      <w:r w:rsidRPr="00852AF6">
        <w:t xml:space="preserve">SPV structure documents </w:t>
      </w:r>
    </w:p>
    <w:p w14:paraId="2A2B266A" w14:textId="77777777" w:rsidR="00852AF6" w:rsidRPr="00852AF6" w:rsidRDefault="00852AF6" w:rsidP="00852AF6">
      <w:pPr>
        <w:numPr>
          <w:ilvl w:val="0"/>
          <w:numId w:val="34"/>
        </w:numPr>
      </w:pPr>
      <w:r w:rsidRPr="00852AF6">
        <w:t xml:space="preserve">Land lease or ownership documents </w:t>
      </w:r>
    </w:p>
    <w:p w14:paraId="546D796A" w14:textId="77777777" w:rsidR="00852AF6" w:rsidRPr="00852AF6" w:rsidRDefault="00852AF6" w:rsidP="00852AF6">
      <w:pPr>
        <w:numPr>
          <w:ilvl w:val="0"/>
          <w:numId w:val="34"/>
        </w:numPr>
      </w:pPr>
      <w:r w:rsidRPr="00852AF6">
        <w:t xml:space="preserve">Grid connection approval </w:t>
      </w:r>
    </w:p>
    <w:p w14:paraId="06D7A73C" w14:textId="77777777" w:rsidR="00852AF6" w:rsidRPr="00852AF6" w:rsidRDefault="00852AF6" w:rsidP="00852AF6">
      <w:pPr>
        <w:numPr>
          <w:ilvl w:val="0"/>
          <w:numId w:val="34"/>
        </w:numPr>
      </w:pPr>
      <w:r w:rsidRPr="00852AF6">
        <w:t xml:space="preserve">EPC contract </w:t>
      </w:r>
    </w:p>
    <w:p w14:paraId="1A376677" w14:textId="77777777" w:rsidR="00852AF6" w:rsidRPr="00852AF6" w:rsidRDefault="00852AF6" w:rsidP="00852AF6">
      <w:pPr>
        <w:numPr>
          <w:ilvl w:val="0"/>
          <w:numId w:val="34"/>
        </w:numPr>
      </w:pPr>
      <w:r w:rsidRPr="00852AF6">
        <w:t xml:space="preserve">O&amp;M contract </w:t>
      </w:r>
    </w:p>
    <w:p w14:paraId="5A62A983" w14:textId="77777777" w:rsidR="00852AF6" w:rsidRPr="00852AF6" w:rsidRDefault="00852AF6" w:rsidP="00852AF6">
      <w:pPr>
        <w:numPr>
          <w:ilvl w:val="0"/>
          <w:numId w:val="34"/>
        </w:numPr>
      </w:pPr>
      <w:r w:rsidRPr="00852AF6">
        <w:t xml:space="preserve">Insurance contract </w:t>
      </w:r>
    </w:p>
    <w:p w14:paraId="160DEEF8" w14:textId="77777777" w:rsidR="00852AF6" w:rsidRPr="00852AF6" w:rsidRDefault="00852AF6" w:rsidP="00852AF6">
      <w:pPr>
        <w:numPr>
          <w:ilvl w:val="0"/>
          <w:numId w:val="34"/>
        </w:numPr>
      </w:pPr>
      <w:r w:rsidRPr="00852AF6">
        <w:t xml:space="preserve">REC account verification </w:t>
      </w:r>
    </w:p>
    <w:p w14:paraId="2F95548B" w14:textId="77777777" w:rsidR="00852AF6" w:rsidRPr="00852AF6" w:rsidRDefault="00852AF6" w:rsidP="00852AF6">
      <w:pPr>
        <w:numPr>
          <w:ilvl w:val="0"/>
          <w:numId w:val="34"/>
        </w:numPr>
      </w:pPr>
      <w:r w:rsidRPr="00852AF6">
        <w:t xml:space="preserve">Power sales settlement records </w:t>
      </w:r>
    </w:p>
    <w:p w14:paraId="0ED93808" w14:textId="77777777" w:rsidR="00852AF6" w:rsidRPr="00852AF6" w:rsidRDefault="00852AF6" w:rsidP="00852AF6">
      <w:pPr>
        <w:numPr>
          <w:ilvl w:val="0"/>
          <w:numId w:val="34"/>
        </w:numPr>
      </w:pPr>
      <w:r w:rsidRPr="00852AF6">
        <w:t xml:space="preserve">Treasury wallet disclosure </w:t>
      </w:r>
    </w:p>
    <w:p w14:paraId="3E475516" w14:textId="77777777" w:rsidR="00852AF6" w:rsidRPr="00852AF6" w:rsidRDefault="00852AF6" w:rsidP="00852AF6">
      <w:pPr>
        <w:numPr>
          <w:ilvl w:val="0"/>
          <w:numId w:val="34"/>
        </w:numPr>
      </w:pPr>
      <w:r w:rsidRPr="00852AF6">
        <w:t xml:space="preserve">Legal opinion </w:t>
      </w:r>
    </w:p>
    <w:p w14:paraId="51980016" w14:textId="77777777" w:rsidR="00852AF6" w:rsidRPr="00852AF6" w:rsidRDefault="00852AF6" w:rsidP="00852AF6">
      <w:pPr>
        <w:numPr>
          <w:ilvl w:val="0"/>
          <w:numId w:val="34"/>
        </w:numPr>
      </w:pPr>
      <w:r w:rsidRPr="00852AF6">
        <w:t xml:space="preserve">Tax memo </w:t>
      </w:r>
    </w:p>
    <w:p w14:paraId="4F4836B1" w14:textId="77777777" w:rsidR="00852AF6" w:rsidRPr="00852AF6" w:rsidRDefault="00852AF6" w:rsidP="00852AF6">
      <w:pPr>
        <w:numPr>
          <w:ilvl w:val="0"/>
          <w:numId w:val="34"/>
        </w:numPr>
      </w:pPr>
      <w:r w:rsidRPr="00852AF6">
        <w:t xml:space="preserve">Smart contract audit report </w:t>
      </w:r>
    </w:p>
    <w:p w14:paraId="2066F0F4" w14:textId="77777777" w:rsidR="00852AF6" w:rsidRPr="00852AF6" w:rsidRDefault="00852AF6" w:rsidP="00852AF6">
      <w:pPr>
        <w:numPr>
          <w:ilvl w:val="0"/>
          <w:numId w:val="34"/>
        </w:numPr>
      </w:pPr>
      <w:r w:rsidRPr="00852AF6">
        <w:t xml:space="preserve">Token allocation table </w:t>
      </w:r>
    </w:p>
    <w:p w14:paraId="28369383" w14:textId="77777777" w:rsidR="00852AF6" w:rsidRPr="00852AF6" w:rsidRDefault="00852AF6" w:rsidP="00852AF6">
      <w:pPr>
        <w:numPr>
          <w:ilvl w:val="0"/>
          <w:numId w:val="34"/>
        </w:numPr>
      </w:pPr>
      <w:r w:rsidRPr="00852AF6">
        <w:t xml:space="preserve">Vesting schedule </w:t>
      </w:r>
    </w:p>
    <w:p w14:paraId="50C5DE62" w14:textId="77777777" w:rsidR="00852AF6" w:rsidRPr="00852AF6" w:rsidRDefault="00852AF6" w:rsidP="00852AF6">
      <w:pPr>
        <w:numPr>
          <w:ilvl w:val="0"/>
          <w:numId w:val="34"/>
        </w:numPr>
      </w:pPr>
      <w:r w:rsidRPr="00852AF6">
        <w:t xml:space="preserve">Risk disclosure document </w:t>
      </w:r>
    </w:p>
    <w:p w14:paraId="51F12E9E" w14:textId="77777777" w:rsidR="00852AF6" w:rsidRPr="00852AF6" w:rsidRDefault="00852AF6" w:rsidP="00852AF6">
      <w:pPr>
        <w:rPr>
          <w:b/>
          <w:bCs/>
        </w:rPr>
      </w:pPr>
      <w:r w:rsidRPr="00852AF6">
        <w:rPr>
          <w:b/>
          <w:bCs/>
        </w:rPr>
        <w:t>18.2 Recommended Language Control</w:t>
      </w:r>
    </w:p>
    <w:p w14:paraId="2C963526" w14:textId="77777777" w:rsidR="00852AF6" w:rsidRPr="00852AF6" w:rsidRDefault="00852AF6" w:rsidP="00852AF6">
      <w:r w:rsidRPr="00852AF6">
        <w:t>The following language should be avoided unless legally and financially guaranteed.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69"/>
        <w:gridCol w:w="5191"/>
      </w:tblGrid>
      <w:tr w:rsidR="00852AF6" w:rsidRPr="00852AF6" w14:paraId="06093FE6" w14:textId="77777777">
        <w:trPr>
          <w:tblHeader/>
          <w:tblCellSpacing w:w="15" w:type="dxa"/>
        </w:trPr>
        <w:tc>
          <w:tcPr>
            <w:tcW w:w="0" w:type="auto"/>
            <w:vAlign w:val="center"/>
            <w:hideMark/>
          </w:tcPr>
          <w:p w14:paraId="1981ACCD" w14:textId="77777777" w:rsidR="00852AF6" w:rsidRPr="00852AF6" w:rsidRDefault="00852AF6" w:rsidP="00852AF6">
            <w:pPr>
              <w:rPr>
                <w:b/>
                <w:bCs/>
              </w:rPr>
            </w:pPr>
            <w:r w:rsidRPr="00852AF6">
              <w:rPr>
                <w:b/>
                <w:bCs/>
              </w:rPr>
              <w:t>High-Risk Expression</w:t>
            </w:r>
          </w:p>
        </w:tc>
        <w:tc>
          <w:tcPr>
            <w:tcW w:w="0" w:type="auto"/>
            <w:vAlign w:val="center"/>
            <w:hideMark/>
          </w:tcPr>
          <w:p w14:paraId="1ECEFE94" w14:textId="77777777" w:rsidR="00852AF6" w:rsidRPr="00852AF6" w:rsidRDefault="00852AF6" w:rsidP="00852AF6">
            <w:pPr>
              <w:rPr>
                <w:b/>
                <w:bCs/>
              </w:rPr>
            </w:pPr>
            <w:r w:rsidRPr="00852AF6">
              <w:rPr>
                <w:b/>
                <w:bCs/>
              </w:rPr>
              <w:t>Recommended Institutional Expression</w:t>
            </w:r>
          </w:p>
        </w:tc>
      </w:tr>
      <w:tr w:rsidR="00852AF6" w:rsidRPr="00852AF6" w14:paraId="18308286" w14:textId="77777777">
        <w:trPr>
          <w:tblCellSpacing w:w="15" w:type="dxa"/>
        </w:trPr>
        <w:tc>
          <w:tcPr>
            <w:tcW w:w="0" w:type="auto"/>
            <w:vAlign w:val="center"/>
            <w:hideMark/>
          </w:tcPr>
          <w:p w14:paraId="2BE4FCA6" w14:textId="77777777" w:rsidR="00852AF6" w:rsidRPr="00852AF6" w:rsidRDefault="00852AF6" w:rsidP="00852AF6">
            <w:r w:rsidRPr="00852AF6">
              <w:t>Guaranteed principal</w:t>
            </w:r>
          </w:p>
        </w:tc>
        <w:tc>
          <w:tcPr>
            <w:tcW w:w="0" w:type="auto"/>
            <w:vAlign w:val="center"/>
            <w:hideMark/>
          </w:tcPr>
          <w:p w14:paraId="0ABD3896" w14:textId="77777777" w:rsidR="00852AF6" w:rsidRPr="00852AF6" w:rsidRDefault="00852AF6" w:rsidP="00852AF6">
            <w:r w:rsidRPr="00852AF6">
              <w:t>Principal protection-oriented structure</w:t>
            </w:r>
          </w:p>
        </w:tc>
      </w:tr>
      <w:tr w:rsidR="00852AF6" w:rsidRPr="00852AF6" w14:paraId="2B7B301E" w14:textId="77777777">
        <w:trPr>
          <w:tblCellSpacing w:w="15" w:type="dxa"/>
        </w:trPr>
        <w:tc>
          <w:tcPr>
            <w:tcW w:w="0" w:type="auto"/>
            <w:vAlign w:val="center"/>
            <w:hideMark/>
          </w:tcPr>
          <w:p w14:paraId="180C12B8" w14:textId="77777777" w:rsidR="00852AF6" w:rsidRPr="00852AF6" w:rsidRDefault="00852AF6" w:rsidP="00852AF6">
            <w:r w:rsidRPr="00852AF6">
              <w:t>Guaranteed return</w:t>
            </w:r>
          </w:p>
        </w:tc>
        <w:tc>
          <w:tcPr>
            <w:tcW w:w="0" w:type="auto"/>
            <w:vAlign w:val="center"/>
            <w:hideMark/>
          </w:tcPr>
          <w:p w14:paraId="2236CDA0" w14:textId="77777777" w:rsidR="00852AF6" w:rsidRPr="00852AF6" w:rsidRDefault="00852AF6" w:rsidP="00852AF6">
            <w:r w:rsidRPr="00852AF6">
              <w:t>Target reward or projected reward</w:t>
            </w:r>
          </w:p>
        </w:tc>
      </w:tr>
      <w:tr w:rsidR="00852AF6" w:rsidRPr="00852AF6" w14:paraId="1187165D" w14:textId="77777777">
        <w:trPr>
          <w:tblCellSpacing w:w="15" w:type="dxa"/>
        </w:trPr>
        <w:tc>
          <w:tcPr>
            <w:tcW w:w="0" w:type="auto"/>
            <w:vAlign w:val="center"/>
            <w:hideMark/>
          </w:tcPr>
          <w:p w14:paraId="2FF1C332" w14:textId="77777777" w:rsidR="00852AF6" w:rsidRPr="00852AF6" w:rsidRDefault="00852AF6" w:rsidP="00852AF6">
            <w:r w:rsidRPr="00852AF6">
              <w:t>Absolute safe asset</w:t>
            </w:r>
          </w:p>
        </w:tc>
        <w:tc>
          <w:tcPr>
            <w:tcW w:w="0" w:type="auto"/>
            <w:vAlign w:val="center"/>
            <w:hideMark/>
          </w:tcPr>
          <w:p w14:paraId="68DA15E6" w14:textId="77777777" w:rsidR="00852AF6" w:rsidRPr="00852AF6" w:rsidRDefault="00852AF6" w:rsidP="00852AF6">
            <w:r w:rsidRPr="00852AF6">
              <w:t>Real-asset-backed risk mitigation model</w:t>
            </w:r>
          </w:p>
        </w:tc>
      </w:tr>
      <w:tr w:rsidR="00852AF6" w:rsidRPr="00852AF6" w14:paraId="4F8440E6" w14:textId="77777777">
        <w:trPr>
          <w:tblCellSpacing w:w="15" w:type="dxa"/>
        </w:trPr>
        <w:tc>
          <w:tcPr>
            <w:tcW w:w="0" w:type="auto"/>
            <w:vAlign w:val="center"/>
            <w:hideMark/>
          </w:tcPr>
          <w:p w14:paraId="0671A04A" w14:textId="77777777" w:rsidR="00852AF6" w:rsidRPr="00852AF6" w:rsidRDefault="00852AF6" w:rsidP="00852AF6">
            <w:r w:rsidRPr="00852AF6">
              <w:t>Confirmed listing</w:t>
            </w:r>
          </w:p>
        </w:tc>
        <w:tc>
          <w:tcPr>
            <w:tcW w:w="0" w:type="auto"/>
            <w:vAlign w:val="center"/>
            <w:hideMark/>
          </w:tcPr>
          <w:p w14:paraId="501EFAB1" w14:textId="77777777" w:rsidR="00852AF6" w:rsidRPr="00852AF6" w:rsidRDefault="00852AF6" w:rsidP="00852AF6">
            <w:r w:rsidRPr="00852AF6">
              <w:t>Listing application or trading-support review</w:t>
            </w:r>
          </w:p>
        </w:tc>
      </w:tr>
      <w:tr w:rsidR="00852AF6" w:rsidRPr="00852AF6" w14:paraId="38540E40" w14:textId="77777777">
        <w:trPr>
          <w:tblCellSpacing w:w="15" w:type="dxa"/>
        </w:trPr>
        <w:tc>
          <w:tcPr>
            <w:tcW w:w="0" w:type="auto"/>
            <w:vAlign w:val="center"/>
            <w:hideMark/>
          </w:tcPr>
          <w:p w14:paraId="1FBAA746" w14:textId="77777777" w:rsidR="00852AF6" w:rsidRPr="00852AF6" w:rsidRDefault="00852AF6" w:rsidP="00852AF6">
            <w:r w:rsidRPr="00852AF6">
              <w:t>Guaranteed target price</w:t>
            </w:r>
          </w:p>
        </w:tc>
        <w:tc>
          <w:tcPr>
            <w:tcW w:w="0" w:type="auto"/>
            <w:vAlign w:val="center"/>
            <w:hideMark/>
          </w:tcPr>
          <w:p w14:paraId="56AFFB99" w14:textId="77777777" w:rsidR="00852AF6" w:rsidRPr="00852AF6" w:rsidRDefault="00852AF6" w:rsidP="00852AF6">
            <w:r w:rsidRPr="00852AF6">
              <w:t>Long-term scenario target</w:t>
            </w:r>
          </w:p>
        </w:tc>
      </w:tr>
      <w:tr w:rsidR="00852AF6" w:rsidRPr="00852AF6" w14:paraId="4C250C30" w14:textId="77777777">
        <w:trPr>
          <w:tblCellSpacing w:w="15" w:type="dxa"/>
        </w:trPr>
        <w:tc>
          <w:tcPr>
            <w:tcW w:w="0" w:type="auto"/>
            <w:vAlign w:val="center"/>
            <w:hideMark/>
          </w:tcPr>
          <w:p w14:paraId="0BB375C9" w14:textId="77777777" w:rsidR="00852AF6" w:rsidRPr="00852AF6" w:rsidRDefault="00852AF6" w:rsidP="00852AF6">
            <w:r w:rsidRPr="00852AF6">
              <w:t>Risk-free</w:t>
            </w:r>
          </w:p>
        </w:tc>
        <w:tc>
          <w:tcPr>
            <w:tcW w:w="0" w:type="auto"/>
            <w:vAlign w:val="center"/>
            <w:hideMark/>
          </w:tcPr>
          <w:p w14:paraId="7EBA4CE6" w14:textId="77777777" w:rsidR="00852AF6" w:rsidRPr="00852AF6" w:rsidRDefault="00852AF6" w:rsidP="00852AF6">
            <w:r w:rsidRPr="00852AF6">
              <w:t>Risk-disclosed asset</w:t>
            </w:r>
          </w:p>
        </w:tc>
      </w:tr>
      <w:tr w:rsidR="00852AF6" w:rsidRPr="00852AF6" w14:paraId="3AAD5DB1" w14:textId="77777777">
        <w:trPr>
          <w:tblCellSpacing w:w="15" w:type="dxa"/>
        </w:trPr>
        <w:tc>
          <w:tcPr>
            <w:tcW w:w="0" w:type="auto"/>
            <w:vAlign w:val="center"/>
            <w:hideMark/>
          </w:tcPr>
          <w:p w14:paraId="4451785C" w14:textId="77777777" w:rsidR="00852AF6" w:rsidRPr="00852AF6" w:rsidRDefault="00852AF6" w:rsidP="00852AF6">
            <w:r w:rsidRPr="00852AF6">
              <w:t>Instant liquidation</w:t>
            </w:r>
          </w:p>
        </w:tc>
        <w:tc>
          <w:tcPr>
            <w:tcW w:w="0" w:type="auto"/>
            <w:vAlign w:val="center"/>
            <w:hideMark/>
          </w:tcPr>
          <w:p w14:paraId="048342FC" w14:textId="77777777" w:rsidR="00852AF6" w:rsidRPr="00852AF6" w:rsidRDefault="00852AF6" w:rsidP="00852AF6">
            <w:r w:rsidRPr="00852AF6">
              <w:t>Liquidity subject to market and treasury conditions</w:t>
            </w:r>
          </w:p>
        </w:tc>
      </w:tr>
    </w:tbl>
    <w:p w14:paraId="27F02638" w14:textId="77777777" w:rsidR="00852AF6" w:rsidRPr="00852AF6" w:rsidRDefault="00852AF6" w:rsidP="00852AF6">
      <w:r w:rsidRPr="00852AF6">
        <w:pict w14:anchorId="3C2F636F">
          <v:rect id="_x0000_i1188" style="width:0;height:1.5pt" o:hralign="center" o:hrstd="t" o:hr="t" fillcolor="#a0a0a0" stroked="f"/>
        </w:pict>
      </w:r>
    </w:p>
    <w:p w14:paraId="42F700CB" w14:textId="77777777" w:rsidR="00852AF6" w:rsidRPr="00852AF6" w:rsidRDefault="00852AF6" w:rsidP="00852AF6">
      <w:pPr>
        <w:rPr>
          <w:b/>
          <w:bCs/>
        </w:rPr>
      </w:pPr>
      <w:r w:rsidRPr="00852AF6">
        <w:rPr>
          <w:b/>
          <w:bCs/>
        </w:rPr>
        <w:t>19. Roadmap</w:t>
      </w:r>
    </w:p>
    <w:p w14:paraId="18E64C68" w14:textId="77777777" w:rsidR="00852AF6" w:rsidRPr="00852AF6" w:rsidRDefault="00852AF6" w:rsidP="00852AF6">
      <w:pPr>
        <w:rPr>
          <w:b/>
          <w:bCs/>
        </w:rPr>
      </w:pPr>
      <w:r w:rsidRPr="00852AF6">
        <w:rPr>
          <w:b/>
          <w:bCs/>
        </w:rPr>
        <w:t>Phase 1: Foundation and Asset Verification</w:t>
      </w:r>
    </w:p>
    <w:p w14:paraId="560DF165" w14:textId="77777777" w:rsidR="00852AF6" w:rsidRPr="00852AF6" w:rsidRDefault="00852AF6" w:rsidP="00852AF6">
      <w:pPr>
        <w:numPr>
          <w:ilvl w:val="0"/>
          <w:numId w:val="35"/>
        </w:numPr>
      </w:pPr>
      <w:r w:rsidRPr="00852AF6">
        <w:t xml:space="preserve">Establish Project S Foundation </w:t>
      </w:r>
    </w:p>
    <w:p w14:paraId="6FF291B2" w14:textId="77777777" w:rsidR="00852AF6" w:rsidRPr="00852AF6" w:rsidRDefault="00852AF6" w:rsidP="00852AF6">
      <w:pPr>
        <w:numPr>
          <w:ilvl w:val="0"/>
          <w:numId w:val="35"/>
        </w:numPr>
      </w:pPr>
      <w:r w:rsidRPr="00852AF6">
        <w:t xml:space="preserve">Finalize solar asset SPV structure </w:t>
      </w:r>
    </w:p>
    <w:p w14:paraId="47CC49FB" w14:textId="77777777" w:rsidR="00852AF6" w:rsidRPr="00852AF6" w:rsidRDefault="00852AF6" w:rsidP="00852AF6">
      <w:pPr>
        <w:numPr>
          <w:ilvl w:val="0"/>
          <w:numId w:val="35"/>
        </w:numPr>
      </w:pPr>
      <w:r w:rsidRPr="00852AF6">
        <w:t xml:space="preserve">Verify EPC, O&amp;M, grid, insurance, and REC documentation </w:t>
      </w:r>
    </w:p>
    <w:p w14:paraId="033F06D1" w14:textId="77777777" w:rsidR="00852AF6" w:rsidRPr="00852AF6" w:rsidRDefault="00852AF6" w:rsidP="00852AF6">
      <w:pPr>
        <w:numPr>
          <w:ilvl w:val="0"/>
          <w:numId w:val="35"/>
        </w:numPr>
      </w:pPr>
      <w:r w:rsidRPr="00852AF6">
        <w:t xml:space="preserve">Develop SPC and SLC smart contracts </w:t>
      </w:r>
    </w:p>
    <w:p w14:paraId="23F5313B" w14:textId="77777777" w:rsidR="00852AF6" w:rsidRPr="00852AF6" w:rsidRDefault="00852AF6" w:rsidP="00852AF6">
      <w:pPr>
        <w:numPr>
          <w:ilvl w:val="0"/>
          <w:numId w:val="35"/>
        </w:numPr>
      </w:pPr>
      <w:r w:rsidRPr="00852AF6">
        <w:t xml:space="preserve">Launch </w:t>
      </w:r>
      <w:proofErr w:type="spellStart"/>
      <w:r w:rsidRPr="00852AF6">
        <w:t>Supervizion</w:t>
      </w:r>
      <w:proofErr w:type="spellEnd"/>
      <w:r w:rsidRPr="00852AF6">
        <w:t xml:space="preserve"> Wallet MVP </w:t>
      </w:r>
    </w:p>
    <w:p w14:paraId="106E6BD9" w14:textId="77777777" w:rsidR="00852AF6" w:rsidRPr="00852AF6" w:rsidRDefault="00852AF6" w:rsidP="00852AF6">
      <w:pPr>
        <w:numPr>
          <w:ilvl w:val="0"/>
          <w:numId w:val="35"/>
        </w:numPr>
      </w:pPr>
      <w:r w:rsidRPr="00852AF6">
        <w:t xml:space="preserve">Design Proof of Energy, Proof of Reserve, and Proof of Revenue oracle system </w:t>
      </w:r>
    </w:p>
    <w:p w14:paraId="772C0BEA" w14:textId="77777777" w:rsidR="00852AF6" w:rsidRPr="00852AF6" w:rsidRDefault="00852AF6" w:rsidP="00852AF6">
      <w:pPr>
        <w:numPr>
          <w:ilvl w:val="0"/>
          <w:numId w:val="35"/>
        </w:numPr>
      </w:pPr>
      <w:r w:rsidRPr="00852AF6">
        <w:t xml:space="preserve">Complete legal and securities classification review </w:t>
      </w:r>
    </w:p>
    <w:p w14:paraId="6FD21707" w14:textId="77777777" w:rsidR="00852AF6" w:rsidRPr="00852AF6" w:rsidRDefault="00852AF6" w:rsidP="00852AF6">
      <w:pPr>
        <w:rPr>
          <w:b/>
          <w:bCs/>
        </w:rPr>
      </w:pPr>
      <w:r w:rsidRPr="00852AF6">
        <w:rPr>
          <w:b/>
          <w:bCs/>
        </w:rPr>
        <w:t>Phase 2: Genesis Launch</w:t>
      </w:r>
    </w:p>
    <w:p w14:paraId="69CA4DAB" w14:textId="77777777" w:rsidR="00852AF6" w:rsidRPr="00852AF6" w:rsidRDefault="00852AF6" w:rsidP="00852AF6">
      <w:pPr>
        <w:numPr>
          <w:ilvl w:val="0"/>
          <w:numId w:val="36"/>
        </w:numPr>
      </w:pPr>
      <w:r w:rsidRPr="00852AF6">
        <w:t xml:space="preserve">Conduct SPC Genesis Sale </w:t>
      </w:r>
    </w:p>
    <w:p w14:paraId="11128924" w14:textId="77777777" w:rsidR="00852AF6" w:rsidRPr="00852AF6" w:rsidRDefault="00852AF6" w:rsidP="00852AF6">
      <w:pPr>
        <w:numPr>
          <w:ilvl w:val="0"/>
          <w:numId w:val="36"/>
        </w:numPr>
      </w:pPr>
      <w:r w:rsidRPr="00852AF6">
        <w:t xml:space="preserve">Launch SLC-SPC OTC swap module </w:t>
      </w:r>
    </w:p>
    <w:p w14:paraId="0F23F2C3" w14:textId="77777777" w:rsidR="00852AF6" w:rsidRPr="00852AF6" w:rsidRDefault="00852AF6" w:rsidP="00852AF6">
      <w:pPr>
        <w:numPr>
          <w:ilvl w:val="0"/>
          <w:numId w:val="36"/>
        </w:numPr>
      </w:pPr>
      <w:r w:rsidRPr="00852AF6">
        <w:t xml:space="preserve">Open Dual Staking Vault </w:t>
      </w:r>
    </w:p>
    <w:p w14:paraId="7124DDA8" w14:textId="77777777" w:rsidR="00852AF6" w:rsidRPr="00852AF6" w:rsidRDefault="00852AF6" w:rsidP="00852AF6">
      <w:pPr>
        <w:numPr>
          <w:ilvl w:val="0"/>
          <w:numId w:val="36"/>
        </w:numPr>
      </w:pPr>
      <w:r w:rsidRPr="00852AF6">
        <w:t xml:space="preserve">Publish treasury dashboard </w:t>
      </w:r>
    </w:p>
    <w:p w14:paraId="2E58666D" w14:textId="77777777" w:rsidR="00852AF6" w:rsidRPr="00852AF6" w:rsidRDefault="00852AF6" w:rsidP="00852AF6">
      <w:pPr>
        <w:numPr>
          <w:ilvl w:val="0"/>
          <w:numId w:val="36"/>
        </w:numPr>
      </w:pPr>
      <w:r w:rsidRPr="00852AF6">
        <w:t xml:space="preserve">Record initial generation data </w:t>
      </w:r>
      <w:proofErr w:type="gramStart"/>
      <w:r w:rsidRPr="00852AF6">
        <w:t>on-chain</w:t>
      </w:r>
      <w:proofErr w:type="gramEnd"/>
      <w:r w:rsidRPr="00852AF6">
        <w:t xml:space="preserve"> </w:t>
      </w:r>
    </w:p>
    <w:p w14:paraId="105E28C2" w14:textId="77777777" w:rsidR="00852AF6" w:rsidRPr="00852AF6" w:rsidRDefault="00852AF6" w:rsidP="00852AF6">
      <w:pPr>
        <w:numPr>
          <w:ilvl w:val="0"/>
          <w:numId w:val="36"/>
        </w:numPr>
      </w:pPr>
      <w:r w:rsidRPr="00852AF6">
        <w:t xml:space="preserve">Activate Genesis Incentive Vault </w:t>
      </w:r>
    </w:p>
    <w:p w14:paraId="074E670F" w14:textId="77777777" w:rsidR="00852AF6" w:rsidRPr="00852AF6" w:rsidRDefault="00852AF6" w:rsidP="00852AF6">
      <w:pPr>
        <w:numPr>
          <w:ilvl w:val="0"/>
          <w:numId w:val="36"/>
        </w:numPr>
      </w:pPr>
      <w:r w:rsidRPr="00852AF6">
        <w:t xml:space="preserve">Begin community and partner onboarding </w:t>
      </w:r>
    </w:p>
    <w:p w14:paraId="65D44FFC" w14:textId="77777777" w:rsidR="00852AF6" w:rsidRPr="00852AF6" w:rsidRDefault="00852AF6" w:rsidP="00852AF6">
      <w:pPr>
        <w:rPr>
          <w:b/>
          <w:bCs/>
        </w:rPr>
      </w:pPr>
      <w:r w:rsidRPr="00852AF6">
        <w:rPr>
          <w:b/>
          <w:bCs/>
        </w:rPr>
        <w:t>Phase 3: Utility Expansion</w:t>
      </w:r>
    </w:p>
    <w:p w14:paraId="1D0D76D4" w14:textId="77777777" w:rsidR="00852AF6" w:rsidRPr="00852AF6" w:rsidRDefault="00852AF6" w:rsidP="00852AF6">
      <w:pPr>
        <w:numPr>
          <w:ilvl w:val="0"/>
          <w:numId w:val="37"/>
        </w:numPr>
      </w:pPr>
      <w:r w:rsidRPr="00852AF6">
        <w:t xml:space="preserve">Launch EV charging pilot </w:t>
      </w:r>
    </w:p>
    <w:p w14:paraId="2894554B" w14:textId="77777777" w:rsidR="00852AF6" w:rsidRPr="00852AF6" w:rsidRDefault="00852AF6" w:rsidP="00852AF6">
      <w:pPr>
        <w:numPr>
          <w:ilvl w:val="0"/>
          <w:numId w:val="37"/>
        </w:numPr>
      </w:pPr>
      <w:proofErr w:type="gramStart"/>
      <w:r w:rsidRPr="00852AF6">
        <w:t>Introduce</w:t>
      </w:r>
      <w:proofErr w:type="gramEnd"/>
      <w:r w:rsidRPr="00852AF6">
        <w:t xml:space="preserve"> SPC charging benefits </w:t>
      </w:r>
    </w:p>
    <w:p w14:paraId="5D98F383" w14:textId="77777777" w:rsidR="00852AF6" w:rsidRPr="00852AF6" w:rsidRDefault="00852AF6" w:rsidP="00852AF6">
      <w:pPr>
        <w:numPr>
          <w:ilvl w:val="0"/>
          <w:numId w:val="37"/>
        </w:numPr>
      </w:pPr>
      <w:r w:rsidRPr="00852AF6">
        <w:t xml:space="preserve">Build DEX liquidity pools </w:t>
      </w:r>
    </w:p>
    <w:p w14:paraId="4FC2DD8D" w14:textId="77777777" w:rsidR="00852AF6" w:rsidRPr="00852AF6" w:rsidRDefault="00852AF6" w:rsidP="00852AF6">
      <w:pPr>
        <w:numPr>
          <w:ilvl w:val="0"/>
          <w:numId w:val="37"/>
        </w:numPr>
      </w:pPr>
      <w:r w:rsidRPr="00852AF6">
        <w:t xml:space="preserve">Publish buyback and burn reports </w:t>
      </w:r>
    </w:p>
    <w:p w14:paraId="01BA58D2" w14:textId="77777777" w:rsidR="00852AF6" w:rsidRPr="00852AF6" w:rsidRDefault="00852AF6" w:rsidP="00852AF6">
      <w:pPr>
        <w:numPr>
          <w:ilvl w:val="0"/>
          <w:numId w:val="37"/>
        </w:numPr>
      </w:pPr>
      <w:r w:rsidRPr="00852AF6">
        <w:t xml:space="preserve">Disclose REC and settlement data </w:t>
      </w:r>
    </w:p>
    <w:p w14:paraId="64EE27A9" w14:textId="77777777" w:rsidR="00852AF6" w:rsidRPr="00852AF6" w:rsidRDefault="00852AF6" w:rsidP="00852AF6">
      <w:pPr>
        <w:numPr>
          <w:ilvl w:val="0"/>
          <w:numId w:val="37"/>
        </w:numPr>
      </w:pPr>
      <w:r w:rsidRPr="00852AF6">
        <w:t xml:space="preserve">Release </w:t>
      </w:r>
      <w:proofErr w:type="spellStart"/>
      <w:r w:rsidRPr="00852AF6">
        <w:t>Supervizion</w:t>
      </w:r>
      <w:proofErr w:type="spellEnd"/>
      <w:r w:rsidRPr="00852AF6">
        <w:t xml:space="preserve"> Wallet mobile version </w:t>
      </w:r>
    </w:p>
    <w:p w14:paraId="1F746128" w14:textId="77777777" w:rsidR="00852AF6" w:rsidRPr="00852AF6" w:rsidRDefault="00852AF6" w:rsidP="00852AF6">
      <w:pPr>
        <w:rPr>
          <w:b/>
          <w:bCs/>
        </w:rPr>
      </w:pPr>
      <w:r w:rsidRPr="00852AF6">
        <w:rPr>
          <w:b/>
          <w:bCs/>
        </w:rPr>
        <w:t>Phase 4: Institutional Energy RWA Expansion</w:t>
      </w:r>
    </w:p>
    <w:p w14:paraId="4EBFEF15" w14:textId="77777777" w:rsidR="00852AF6" w:rsidRPr="00852AF6" w:rsidRDefault="00852AF6" w:rsidP="00852AF6">
      <w:pPr>
        <w:numPr>
          <w:ilvl w:val="0"/>
          <w:numId w:val="38"/>
        </w:numPr>
      </w:pPr>
      <w:r w:rsidRPr="00852AF6">
        <w:t xml:space="preserve">Onboard additional solar assets </w:t>
      </w:r>
    </w:p>
    <w:p w14:paraId="3443D145" w14:textId="77777777" w:rsidR="00852AF6" w:rsidRPr="00852AF6" w:rsidRDefault="00852AF6" w:rsidP="00852AF6">
      <w:pPr>
        <w:numPr>
          <w:ilvl w:val="0"/>
          <w:numId w:val="38"/>
        </w:numPr>
      </w:pPr>
      <w:r w:rsidRPr="00852AF6">
        <w:t xml:space="preserve">Integrate ESS energy storage </w:t>
      </w:r>
    </w:p>
    <w:p w14:paraId="28C01956" w14:textId="77777777" w:rsidR="00852AF6" w:rsidRPr="00852AF6" w:rsidRDefault="00852AF6" w:rsidP="00852AF6">
      <w:pPr>
        <w:numPr>
          <w:ilvl w:val="0"/>
          <w:numId w:val="38"/>
        </w:numPr>
      </w:pPr>
      <w:r w:rsidRPr="00852AF6">
        <w:t xml:space="preserve">Pursue </w:t>
      </w:r>
      <w:proofErr w:type="gramStart"/>
      <w:r w:rsidRPr="00852AF6">
        <w:t>corporate</w:t>
      </w:r>
      <w:proofErr w:type="gramEnd"/>
      <w:r w:rsidRPr="00852AF6">
        <w:t xml:space="preserve"> PPA </w:t>
      </w:r>
      <w:proofErr w:type="gramStart"/>
      <w:r w:rsidRPr="00852AF6">
        <w:t>contracts</w:t>
      </w:r>
      <w:proofErr w:type="gramEnd"/>
      <w:r w:rsidRPr="00852AF6">
        <w:t xml:space="preserve"> </w:t>
      </w:r>
    </w:p>
    <w:p w14:paraId="6C98C6D7" w14:textId="77777777" w:rsidR="00852AF6" w:rsidRPr="00852AF6" w:rsidRDefault="00852AF6" w:rsidP="00852AF6">
      <w:pPr>
        <w:numPr>
          <w:ilvl w:val="0"/>
          <w:numId w:val="38"/>
        </w:numPr>
      </w:pPr>
      <w:r w:rsidRPr="00852AF6">
        <w:t xml:space="preserve">Explore data center power supply partnerships </w:t>
      </w:r>
    </w:p>
    <w:p w14:paraId="3C1114B3" w14:textId="77777777" w:rsidR="00852AF6" w:rsidRPr="00852AF6" w:rsidRDefault="00852AF6" w:rsidP="00852AF6">
      <w:pPr>
        <w:numPr>
          <w:ilvl w:val="0"/>
          <w:numId w:val="38"/>
        </w:numPr>
      </w:pPr>
      <w:r w:rsidRPr="00852AF6">
        <w:t xml:space="preserve">Open institutional RWA data room </w:t>
      </w:r>
    </w:p>
    <w:p w14:paraId="7653F4C2" w14:textId="77777777" w:rsidR="00852AF6" w:rsidRPr="00852AF6" w:rsidRDefault="00852AF6" w:rsidP="00852AF6">
      <w:pPr>
        <w:numPr>
          <w:ilvl w:val="0"/>
          <w:numId w:val="38"/>
        </w:numPr>
      </w:pPr>
      <w:r w:rsidRPr="00852AF6">
        <w:t xml:space="preserve">Integrate with RWA and DeFi protocols </w:t>
      </w:r>
    </w:p>
    <w:p w14:paraId="0DE1BF99" w14:textId="77777777" w:rsidR="00852AF6" w:rsidRPr="00852AF6" w:rsidRDefault="00852AF6" w:rsidP="00852AF6">
      <w:pPr>
        <w:rPr>
          <w:b/>
          <w:bCs/>
        </w:rPr>
      </w:pPr>
      <w:r w:rsidRPr="00852AF6">
        <w:rPr>
          <w:b/>
          <w:bCs/>
        </w:rPr>
        <w:t>Phase 5: Global Energy Finance Network</w:t>
      </w:r>
    </w:p>
    <w:p w14:paraId="288013A5" w14:textId="77777777" w:rsidR="00852AF6" w:rsidRPr="00852AF6" w:rsidRDefault="00852AF6" w:rsidP="00852AF6">
      <w:pPr>
        <w:numPr>
          <w:ilvl w:val="0"/>
          <w:numId w:val="39"/>
        </w:numPr>
      </w:pPr>
      <w:r w:rsidRPr="00852AF6">
        <w:t xml:space="preserve">Expand to multi-chain infrastructure </w:t>
      </w:r>
    </w:p>
    <w:p w14:paraId="547E6A38" w14:textId="77777777" w:rsidR="00852AF6" w:rsidRPr="00852AF6" w:rsidRDefault="00852AF6" w:rsidP="00852AF6">
      <w:pPr>
        <w:numPr>
          <w:ilvl w:val="0"/>
          <w:numId w:val="39"/>
        </w:numPr>
      </w:pPr>
      <w:r w:rsidRPr="00852AF6">
        <w:t xml:space="preserve">Onboard international renewable assets </w:t>
      </w:r>
    </w:p>
    <w:p w14:paraId="10BDD8EA" w14:textId="77777777" w:rsidR="00852AF6" w:rsidRPr="00852AF6" w:rsidRDefault="00852AF6" w:rsidP="00852AF6">
      <w:pPr>
        <w:numPr>
          <w:ilvl w:val="0"/>
          <w:numId w:val="39"/>
        </w:numPr>
      </w:pPr>
      <w:r w:rsidRPr="00852AF6">
        <w:t xml:space="preserve">Connect REC, carbon credit, and green energy data </w:t>
      </w:r>
    </w:p>
    <w:p w14:paraId="5E373211" w14:textId="77777777" w:rsidR="00852AF6" w:rsidRPr="00852AF6" w:rsidRDefault="00852AF6" w:rsidP="00852AF6">
      <w:pPr>
        <w:numPr>
          <w:ilvl w:val="0"/>
          <w:numId w:val="39"/>
        </w:numPr>
      </w:pPr>
      <w:proofErr w:type="gramStart"/>
      <w:r w:rsidRPr="00852AF6">
        <w:t>Pursue</w:t>
      </w:r>
      <w:proofErr w:type="gramEnd"/>
      <w:r w:rsidRPr="00852AF6">
        <w:t xml:space="preserve"> global exchange liquidity </w:t>
      </w:r>
    </w:p>
    <w:p w14:paraId="0688A4B3" w14:textId="77777777" w:rsidR="00852AF6" w:rsidRPr="00852AF6" w:rsidRDefault="00852AF6" w:rsidP="00852AF6">
      <w:pPr>
        <w:numPr>
          <w:ilvl w:val="0"/>
          <w:numId w:val="39"/>
        </w:numPr>
      </w:pPr>
      <w:r w:rsidRPr="00852AF6">
        <w:t xml:space="preserve">Launch Energy RWA Index </w:t>
      </w:r>
    </w:p>
    <w:p w14:paraId="4323176E" w14:textId="77777777" w:rsidR="00852AF6" w:rsidRPr="00852AF6" w:rsidRDefault="00852AF6" w:rsidP="00852AF6">
      <w:pPr>
        <w:numPr>
          <w:ilvl w:val="0"/>
          <w:numId w:val="39"/>
        </w:numPr>
      </w:pPr>
      <w:r w:rsidRPr="00852AF6">
        <w:t xml:space="preserve">Transition toward Project S DAO governance </w:t>
      </w:r>
    </w:p>
    <w:p w14:paraId="3446BDD7" w14:textId="77777777" w:rsidR="00852AF6" w:rsidRPr="00852AF6" w:rsidRDefault="00852AF6" w:rsidP="00852AF6">
      <w:r w:rsidRPr="00852AF6">
        <w:pict w14:anchorId="01065F50">
          <v:rect id="_x0000_i1189" style="width:0;height:1.5pt" o:hralign="center" o:hrstd="t" o:hr="t" fillcolor="#a0a0a0" stroked="f"/>
        </w:pict>
      </w:r>
    </w:p>
    <w:p w14:paraId="18EDA3A5" w14:textId="77777777" w:rsidR="00852AF6" w:rsidRPr="00852AF6" w:rsidRDefault="00852AF6" w:rsidP="00852AF6">
      <w:pPr>
        <w:rPr>
          <w:b/>
          <w:bCs/>
        </w:rPr>
      </w:pPr>
      <w:r w:rsidRPr="00852AF6">
        <w:rPr>
          <w:b/>
          <w:bCs/>
        </w:rPr>
        <w:t>20. Risk Factors</w:t>
      </w:r>
    </w:p>
    <w:p w14:paraId="6FABAFCE" w14:textId="77777777" w:rsidR="00852AF6" w:rsidRPr="00852AF6" w:rsidRDefault="00852AF6" w:rsidP="00852AF6">
      <w:r w:rsidRPr="00852AF6">
        <w:t>Project S is built around real-world energy infrastructure, but it is not risk-free.</w:t>
      </w:r>
    </w:p>
    <w:p w14:paraId="28845AE3" w14:textId="77777777" w:rsidR="00852AF6" w:rsidRPr="00852AF6" w:rsidRDefault="00852AF6" w:rsidP="00852AF6">
      <w:pPr>
        <w:rPr>
          <w:b/>
          <w:bCs/>
        </w:rPr>
      </w:pPr>
      <w:r w:rsidRPr="00852AF6">
        <w:rPr>
          <w:b/>
          <w:bCs/>
        </w:rPr>
        <w:t>20.1 Market Risk</w:t>
      </w:r>
    </w:p>
    <w:p w14:paraId="789F836A" w14:textId="77777777" w:rsidR="00852AF6" w:rsidRPr="00852AF6" w:rsidRDefault="00852AF6" w:rsidP="00852AF6">
      <w:r w:rsidRPr="00852AF6">
        <w:t>SMP and REC prices may fluctuate due to fuel costs, policy changes, electricity demand, renewable supply, grid conditions, and market regulation.</w:t>
      </w:r>
    </w:p>
    <w:p w14:paraId="1A816841" w14:textId="77777777" w:rsidR="00852AF6" w:rsidRPr="00852AF6" w:rsidRDefault="00852AF6" w:rsidP="00852AF6">
      <w:pPr>
        <w:rPr>
          <w:b/>
          <w:bCs/>
        </w:rPr>
      </w:pPr>
      <w:r w:rsidRPr="00852AF6">
        <w:rPr>
          <w:b/>
          <w:bCs/>
        </w:rPr>
        <w:t>20.2 Operational Risk</w:t>
      </w:r>
    </w:p>
    <w:p w14:paraId="71894B12" w14:textId="77777777" w:rsidR="00852AF6" w:rsidRPr="00852AF6" w:rsidRDefault="00852AF6" w:rsidP="00852AF6">
      <w:r w:rsidRPr="00852AF6">
        <w:t>Solar output may be affected by weather, equipment failure, grid curtailment, maintenance issues, natural disasters, or inverter degradation.</w:t>
      </w:r>
    </w:p>
    <w:p w14:paraId="3B11D9FD" w14:textId="77777777" w:rsidR="00852AF6" w:rsidRPr="00852AF6" w:rsidRDefault="00852AF6" w:rsidP="00852AF6">
      <w:pPr>
        <w:rPr>
          <w:b/>
          <w:bCs/>
        </w:rPr>
      </w:pPr>
      <w:r w:rsidRPr="00852AF6">
        <w:rPr>
          <w:b/>
          <w:bCs/>
        </w:rPr>
        <w:t>20.3 Regulatory Risk</w:t>
      </w:r>
    </w:p>
    <w:p w14:paraId="36E4A0D8" w14:textId="77777777" w:rsidR="00852AF6" w:rsidRPr="00852AF6" w:rsidRDefault="00852AF6" w:rsidP="00852AF6">
      <w:r w:rsidRPr="00852AF6">
        <w:t>Virtual asset laws, securities regulations, REC policies, renewable energy rules, tax rules, and EV charging payment regulations may change.</w:t>
      </w:r>
    </w:p>
    <w:p w14:paraId="7BFB4174" w14:textId="77777777" w:rsidR="00852AF6" w:rsidRPr="00852AF6" w:rsidRDefault="00852AF6" w:rsidP="00852AF6">
      <w:pPr>
        <w:rPr>
          <w:b/>
          <w:bCs/>
        </w:rPr>
      </w:pPr>
      <w:r w:rsidRPr="00852AF6">
        <w:rPr>
          <w:b/>
          <w:bCs/>
        </w:rPr>
        <w:t>20.4 Smart Contract Risk</w:t>
      </w:r>
    </w:p>
    <w:p w14:paraId="710AE7D0" w14:textId="77777777" w:rsidR="00852AF6" w:rsidRPr="00852AF6" w:rsidRDefault="00852AF6" w:rsidP="00852AF6">
      <w:r w:rsidRPr="00852AF6">
        <w:t>Protocol contracts may be exposed to bugs, exploits, oracle attacks, bridge vulnerabilities, governance attacks, or private key compromise.</w:t>
      </w:r>
    </w:p>
    <w:p w14:paraId="4A6C0D53" w14:textId="77777777" w:rsidR="00852AF6" w:rsidRPr="00852AF6" w:rsidRDefault="00852AF6" w:rsidP="00852AF6">
      <w:pPr>
        <w:rPr>
          <w:b/>
          <w:bCs/>
        </w:rPr>
      </w:pPr>
      <w:r w:rsidRPr="00852AF6">
        <w:rPr>
          <w:b/>
          <w:bCs/>
        </w:rPr>
        <w:t>20.5 Liquidity Risk</w:t>
      </w:r>
    </w:p>
    <w:p w14:paraId="2E47FF3F" w14:textId="77777777" w:rsidR="00852AF6" w:rsidRPr="00852AF6" w:rsidRDefault="00852AF6" w:rsidP="00852AF6">
      <w:r w:rsidRPr="00852AF6">
        <w:t>SPC and SLC may not always have sufficient market liquidity. Users may not be able to sell or redeem tokens at the desired time or price.</w:t>
      </w:r>
    </w:p>
    <w:p w14:paraId="1B17E26A" w14:textId="77777777" w:rsidR="00852AF6" w:rsidRPr="00852AF6" w:rsidRDefault="00852AF6" w:rsidP="00852AF6">
      <w:pPr>
        <w:rPr>
          <w:b/>
          <w:bCs/>
        </w:rPr>
      </w:pPr>
      <w:r w:rsidRPr="00852AF6">
        <w:rPr>
          <w:b/>
          <w:bCs/>
        </w:rPr>
        <w:t>20.6 Legal Classification Risk</w:t>
      </w:r>
    </w:p>
    <w:p w14:paraId="7E55BDC4" w14:textId="77777777" w:rsidR="00852AF6" w:rsidRPr="00852AF6" w:rsidRDefault="00852AF6" w:rsidP="00852AF6">
      <w:r w:rsidRPr="00852AF6">
        <w:t>If SPC includes profit-sharing, redemption rights, principal-protection features, or revenue-linked claims, it may be classified as a security or investment contract in certain jurisdictions.</w:t>
      </w:r>
    </w:p>
    <w:p w14:paraId="3A5E106C" w14:textId="77777777" w:rsidR="00852AF6" w:rsidRPr="00852AF6" w:rsidRDefault="00852AF6" w:rsidP="00852AF6">
      <w:r w:rsidRPr="00852AF6">
        <w:pict w14:anchorId="6C832633">
          <v:rect id="_x0000_i1190" style="width:0;height:1.5pt" o:hralign="center" o:hrstd="t" o:hr="t" fillcolor="#a0a0a0" stroked="f"/>
        </w:pict>
      </w:r>
    </w:p>
    <w:p w14:paraId="45A8E1C4" w14:textId="77777777" w:rsidR="00852AF6" w:rsidRPr="00852AF6" w:rsidRDefault="00852AF6" w:rsidP="00852AF6">
      <w:pPr>
        <w:rPr>
          <w:b/>
          <w:bCs/>
        </w:rPr>
      </w:pPr>
      <w:r w:rsidRPr="00852AF6">
        <w:rPr>
          <w:b/>
          <w:bCs/>
        </w:rPr>
        <w:t>21. Final Vision Statement</w:t>
      </w:r>
    </w:p>
    <w:p w14:paraId="7AE9F092" w14:textId="77777777" w:rsidR="00852AF6" w:rsidRPr="00852AF6" w:rsidRDefault="00852AF6" w:rsidP="00852AF6">
      <w:r w:rsidRPr="00852AF6">
        <w:t>Project S is not merely a cryptocurrency project.</w:t>
      </w:r>
    </w:p>
    <w:p w14:paraId="7BBEFF1B" w14:textId="77777777" w:rsidR="00852AF6" w:rsidRPr="00852AF6" w:rsidRDefault="00852AF6" w:rsidP="00852AF6">
      <w:r w:rsidRPr="00852AF6">
        <w:t>It is a renewable energy-backed financial ecosystem designed for the AI era.</w:t>
      </w:r>
    </w:p>
    <w:p w14:paraId="694DA891" w14:textId="77777777" w:rsidR="00852AF6" w:rsidRPr="00852AF6" w:rsidRDefault="00852AF6" w:rsidP="00852AF6">
      <w:r w:rsidRPr="00852AF6">
        <w:t>As artificial intelligence transforms the global economy, electricity becomes the foundational resource behind computation, automation, cloud infrastructure, robotics, and data intelligence. Project S turns this foundational resource into a transparent, programmable, and utility-driven blockchain economy.</w:t>
      </w:r>
    </w:p>
    <w:p w14:paraId="6348A2F5" w14:textId="77777777" w:rsidR="00852AF6" w:rsidRPr="00852AF6" w:rsidRDefault="00852AF6" w:rsidP="00852AF6">
      <w:r w:rsidRPr="00852AF6">
        <w:t xml:space="preserve">SPC brings renewable energy value </w:t>
      </w:r>
      <w:proofErr w:type="gramStart"/>
      <w:r w:rsidRPr="00852AF6">
        <w:t>on-chain</w:t>
      </w:r>
      <w:proofErr w:type="gramEnd"/>
      <w:r w:rsidRPr="00852AF6">
        <w:t>.</w:t>
      </w:r>
      <w:r w:rsidRPr="00852AF6">
        <w:br/>
        <w:t>SLC powers liquidity, governance, incentives, and ecosystem expansion.</w:t>
      </w:r>
      <w:r w:rsidRPr="00852AF6">
        <w:br/>
      </w:r>
      <w:proofErr w:type="spellStart"/>
      <w:r w:rsidRPr="00852AF6">
        <w:t>Supervizion</w:t>
      </w:r>
      <w:proofErr w:type="spellEnd"/>
      <w:r w:rsidRPr="00852AF6">
        <w:t xml:space="preserve"> Wallet connects users to staking, swaps, energy data, EV charging, and real-world utility.</w:t>
      </w:r>
    </w:p>
    <w:p w14:paraId="74A07A80" w14:textId="77777777" w:rsidR="00852AF6" w:rsidRPr="00852AF6" w:rsidRDefault="00852AF6" w:rsidP="00852AF6">
      <w:r w:rsidRPr="00852AF6">
        <w:t>Project S is built on a simple but powerful vision:</w:t>
      </w:r>
    </w:p>
    <w:p w14:paraId="4B88771C" w14:textId="77777777" w:rsidR="00852AF6" w:rsidRPr="00852AF6" w:rsidRDefault="00852AF6" w:rsidP="00852AF6">
      <w:r w:rsidRPr="00852AF6">
        <w:rPr>
          <w:b/>
          <w:bCs/>
        </w:rPr>
        <w:t>In the AI economy, electricity is not only consumed. It is capitalized. It is verified. It is tokenized. It becomes programmable value.</w:t>
      </w:r>
    </w:p>
    <w:p w14:paraId="4D4E5BB1" w14:textId="77777777" w:rsidR="00852AF6" w:rsidRPr="00852AF6" w:rsidRDefault="00852AF6" w:rsidP="00852AF6">
      <w:r w:rsidRPr="00852AF6">
        <w:pict w14:anchorId="7E5D5DD3">
          <v:rect id="_x0000_i1191" style="width:0;height:1.5pt" o:hralign="center" o:hrstd="t" o:hr="t" fillcolor="#a0a0a0" stroked="f"/>
        </w:pict>
      </w:r>
    </w:p>
    <w:p w14:paraId="52206C11" w14:textId="77777777" w:rsidR="00852AF6" w:rsidRPr="00852AF6" w:rsidRDefault="00852AF6" w:rsidP="00852AF6">
      <w:pPr>
        <w:rPr>
          <w:b/>
          <w:bCs/>
        </w:rPr>
      </w:pPr>
      <w:r w:rsidRPr="00852AF6">
        <w:rPr>
          <w:b/>
          <w:bCs/>
        </w:rPr>
        <w:t>22. One-Line Investor Summary</w:t>
      </w:r>
    </w:p>
    <w:p w14:paraId="40DEAF0D" w14:textId="77777777" w:rsidR="00852AF6" w:rsidRPr="00852AF6" w:rsidRDefault="00852AF6" w:rsidP="00852AF6">
      <w:r w:rsidRPr="00852AF6">
        <w:rPr>
          <w:b/>
          <w:bCs/>
        </w:rPr>
        <w:t>Project S is an Energy RWA protocol that converts renewable power generation, SMP, REC, EV charging utility, and on-chain oracle verification into a sustainable dual-token ecosystem for the AI-powered electricity economy.</w:t>
      </w:r>
    </w:p>
    <w:p w14:paraId="39EE6E9F" w14:textId="77777777" w:rsidR="00852AF6" w:rsidRPr="00852AF6" w:rsidRDefault="00852AF6" w:rsidP="00852AF6">
      <w:r w:rsidRPr="00852AF6">
        <w:pict w14:anchorId="5EE5513A">
          <v:rect id="_x0000_i1192" style="width:0;height:1.5pt" o:hralign="center" o:hrstd="t" o:hr="t" fillcolor="#a0a0a0" stroked="f"/>
        </w:pict>
      </w:r>
    </w:p>
    <w:p w14:paraId="0B16AEFE" w14:textId="77777777" w:rsidR="00852AF6" w:rsidRPr="00852AF6" w:rsidRDefault="00852AF6" w:rsidP="00852AF6">
      <w:pPr>
        <w:rPr>
          <w:b/>
          <w:bCs/>
        </w:rPr>
      </w:pPr>
      <w:r w:rsidRPr="00852AF6">
        <w:rPr>
          <w:b/>
          <w:bCs/>
        </w:rPr>
        <w:t>23. Institutional Disclaimer</w:t>
      </w:r>
    </w:p>
    <w:p w14:paraId="004408F7" w14:textId="77777777" w:rsidR="00852AF6" w:rsidRPr="00852AF6" w:rsidRDefault="00852AF6" w:rsidP="00852AF6">
      <w:r w:rsidRPr="00852AF6">
        <w:t xml:space="preserve">This </w:t>
      </w:r>
      <w:proofErr w:type="gramStart"/>
      <w:r w:rsidRPr="00852AF6">
        <w:t>whitepaper</w:t>
      </w:r>
      <w:proofErr w:type="gramEnd"/>
      <w:r w:rsidRPr="00852AF6">
        <w:t xml:space="preserve"> is provided for informational and conceptual purposes only. It does not constitute investment advice, financial advice, legal advice, tax advice, securities offering, or a guarantee of profit, principal protection, exchange listing, redemption, or token price performance. All token-related functions, staking rewards, redemption mechanisms, exchange integrations, and real-world utility programs are subject to final legal review, technical implementation, regulatory approval, treasury conditions, market liquidity, and official project announcements.</w:t>
      </w:r>
    </w:p>
    <w:p w14:paraId="6C0B2A88" w14:textId="77777777" w:rsidR="00B457DD" w:rsidRPr="00852AF6" w:rsidRDefault="00B457DD" w:rsidP="00852AF6"/>
    <w:sectPr w:rsidR="00B457DD" w:rsidRPr="00852AF6">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9350B"/>
    <w:multiLevelType w:val="multilevel"/>
    <w:tmpl w:val="25E29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93430"/>
    <w:multiLevelType w:val="multilevel"/>
    <w:tmpl w:val="9EC8D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F2BCA"/>
    <w:multiLevelType w:val="multilevel"/>
    <w:tmpl w:val="2330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53D62"/>
    <w:multiLevelType w:val="multilevel"/>
    <w:tmpl w:val="4F8AB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248CA"/>
    <w:multiLevelType w:val="multilevel"/>
    <w:tmpl w:val="7CBCD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610F3"/>
    <w:multiLevelType w:val="multilevel"/>
    <w:tmpl w:val="E06C4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35633E"/>
    <w:multiLevelType w:val="multilevel"/>
    <w:tmpl w:val="335EE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A1586D"/>
    <w:multiLevelType w:val="multilevel"/>
    <w:tmpl w:val="3492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BD1BFF"/>
    <w:multiLevelType w:val="multilevel"/>
    <w:tmpl w:val="87A67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40479A"/>
    <w:multiLevelType w:val="multilevel"/>
    <w:tmpl w:val="551EE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5B4AF8"/>
    <w:multiLevelType w:val="multilevel"/>
    <w:tmpl w:val="7F00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CD2366"/>
    <w:multiLevelType w:val="multilevel"/>
    <w:tmpl w:val="7188F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D55D20"/>
    <w:multiLevelType w:val="multilevel"/>
    <w:tmpl w:val="A3104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1F043B"/>
    <w:multiLevelType w:val="multilevel"/>
    <w:tmpl w:val="DCEE3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376820"/>
    <w:multiLevelType w:val="multilevel"/>
    <w:tmpl w:val="ABE28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180CA8"/>
    <w:multiLevelType w:val="multilevel"/>
    <w:tmpl w:val="948E9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C27789"/>
    <w:multiLevelType w:val="multilevel"/>
    <w:tmpl w:val="46C09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BB602A"/>
    <w:multiLevelType w:val="multilevel"/>
    <w:tmpl w:val="C9C05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9B7159"/>
    <w:multiLevelType w:val="multilevel"/>
    <w:tmpl w:val="7794D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4565E0"/>
    <w:multiLevelType w:val="multilevel"/>
    <w:tmpl w:val="08865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EC5AA9"/>
    <w:multiLevelType w:val="multilevel"/>
    <w:tmpl w:val="94E48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42278D"/>
    <w:multiLevelType w:val="multilevel"/>
    <w:tmpl w:val="FD067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247850"/>
    <w:multiLevelType w:val="multilevel"/>
    <w:tmpl w:val="B9660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5D3BDF"/>
    <w:multiLevelType w:val="multilevel"/>
    <w:tmpl w:val="5614C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7B59F5"/>
    <w:multiLevelType w:val="multilevel"/>
    <w:tmpl w:val="A15A9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0E6E3F"/>
    <w:multiLevelType w:val="multilevel"/>
    <w:tmpl w:val="58E82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755CC9"/>
    <w:multiLevelType w:val="multilevel"/>
    <w:tmpl w:val="B59C8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4F46C3"/>
    <w:multiLevelType w:val="multilevel"/>
    <w:tmpl w:val="B5BC9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5A112D"/>
    <w:multiLevelType w:val="multilevel"/>
    <w:tmpl w:val="2C505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2D3810"/>
    <w:multiLevelType w:val="multilevel"/>
    <w:tmpl w:val="E700A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963F17"/>
    <w:multiLevelType w:val="multilevel"/>
    <w:tmpl w:val="078C0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F04CEF"/>
    <w:multiLevelType w:val="multilevel"/>
    <w:tmpl w:val="5776D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3B030E"/>
    <w:multiLevelType w:val="multilevel"/>
    <w:tmpl w:val="D3E0C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8A55FE"/>
    <w:multiLevelType w:val="multilevel"/>
    <w:tmpl w:val="93F6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385F73"/>
    <w:multiLevelType w:val="multilevel"/>
    <w:tmpl w:val="0310E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AE1294"/>
    <w:multiLevelType w:val="multilevel"/>
    <w:tmpl w:val="CFF8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59649E"/>
    <w:multiLevelType w:val="multilevel"/>
    <w:tmpl w:val="80F47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E86B26"/>
    <w:multiLevelType w:val="multilevel"/>
    <w:tmpl w:val="B6043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4E29E1"/>
    <w:multiLevelType w:val="multilevel"/>
    <w:tmpl w:val="ADC87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8641299">
    <w:abstractNumId w:val="14"/>
  </w:num>
  <w:num w:numId="2" w16cid:durableId="153448330">
    <w:abstractNumId w:val="12"/>
  </w:num>
  <w:num w:numId="3" w16cid:durableId="1589843655">
    <w:abstractNumId w:val="29"/>
  </w:num>
  <w:num w:numId="4" w16cid:durableId="314339430">
    <w:abstractNumId w:val="3"/>
  </w:num>
  <w:num w:numId="5" w16cid:durableId="664745035">
    <w:abstractNumId w:val="24"/>
  </w:num>
  <w:num w:numId="6" w16cid:durableId="329331673">
    <w:abstractNumId w:val="19"/>
  </w:num>
  <w:num w:numId="7" w16cid:durableId="548960452">
    <w:abstractNumId w:val="23"/>
  </w:num>
  <w:num w:numId="8" w16cid:durableId="312759442">
    <w:abstractNumId w:val="5"/>
  </w:num>
  <w:num w:numId="9" w16cid:durableId="385759046">
    <w:abstractNumId w:val="33"/>
  </w:num>
  <w:num w:numId="10" w16cid:durableId="1981960996">
    <w:abstractNumId w:val="32"/>
  </w:num>
  <w:num w:numId="11" w16cid:durableId="199705493">
    <w:abstractNumId w:val="17"/>
  </w:num>
  <w:num w:numId="12" w16cid:durableId="2133935381">
    <w:abstractNumId w:val="31"/>
  </w:num>
  <w:num w:numId="13" w16cid:durableId="1777601864">
    <w:abstractNumId w:val="38"/>
  </w:num>
  <w:num w:numId="14" w16cid:durableId="703403934">
    <w:abstractNumId w:val="35"/>
  </w:num>
  <w:num w:numId="15" w16cid:durableId="1547718926">
    <w:abstractNumId w:val="21"/>
  </w:num>
  <w:num w:numId="16" w16cid:durableId="616957466">
    <w:abstractNumId w:val="22"/>
  </w:num>
  <w:num w:numId="17" w16cid:durableId="76440177">
    <w:abstractNumId w:val="25"/>
  </w:num>
  <w:num w:numId="18" w16cid:durableId="1414662371">
    <w:abstractNumId w:val="16"/>
  </w:num>
  <w:num w:numId="19" w16cid:durableId="298001791">
    <w:abstractNumId w:val="13"/>
  </w:num>
  <w:num w:numId="20" w16cid:durableId="1261136326">
    <w:abstractNumId w:val="0"/>
  </w:num>
  <w:num w:numId="21" w16cid:durableId="1405181416">
    <w:abstractNumId w:val="8"/>
  </w:num>
  <w:num w:numId="22" w16cid:durableId="1055470936">
    <w:abstractNumId w:val="26"/>
  </w:num>
  <w:num w:numId="23" w16cid:durableId="1195927232">
    <w:abstractNumId w:val="9"/>
  </w:num>
  <w:num w:numId="24" w16cid:durableId="1062479947">
    <w:abstractNumId w:val="11"/>
  </w:num>
  <w:num w:numId="25" w16cid:durableId="2125611882">
    <w:abstractNumId w:val="6"/>
  </w:num>
  <w:num w:numId="26" w16cid:durableId="1673409313">
    <w:abstractNumId w:val="1"/>
  </w:num>
  <w:num w:numId="27" w16cid:durableId="892081943">
    <w:abstractNumId w:val="37"/>
  </w:num>
  <w:num w:numId="28" w16cid:durableId="617176856">
    <w:abstractNumId w:val="28"/>
  </w:num>
  <w:num w:numId="29" w16cid:durableId="913396932">
    <w:abstractNumId w:val="2"/>
  </w:num>
  <w:num w:numId="30" w16cid:durableId="2013026977">
    <w:abstractNumId w:val="10"/>
  </w:num>
  <w:num w:numId="31" w16cid:durableId="1475024561">
    <w:abstractNumId w:val="4"/>
  </w:num>
  <w:num w:numId="32" w16cid:durableId="1924992753">
    <w:abstractNumId w:val="18"/>
  </w:num>
  <w:num w:numId="33" w16cid:durableId="416172345">
    <w:abstractNumId w:val="34"/>
  </w:num>
  <w:num w:numId="34" w16cid:durableId="1845632085">
    <w:abstractNumId w:val="27"/>
  </w:num>
  <w:num w:numId="35" w16cid:durableId="1548298761">
    <w:abstractNumId w:val="36"/>
  </w:num>
  <w:num w:numId="36" w16cid:durableId="389499797">
    <w:abstractNumId w:val="30"/>
  </w:num>
  <w:num w:numId="37" w16cid:durableId="1277636111">
    <w:abstractNumId w:val="20"/>
  </w:num>
  <w:num w:numId="38" w16cid:durableId="743184835">
    <w:abstractNumId w:val="15"/>
  </w:num>
  <w:num w:numId="39" w16cid:durableId="6959587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AF6"/>
    <w:rsid w:val="002463C3"/>
    <w:rsid w:val="005759FF"/>
    <w:rsid w:val="00852AF6"/>
    <w:rsid w:val="00B457DD"/>
    <w:rsid w:val="00B831EF"/>
    <w:rsid w:val="00CA533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BFB54"/>
  <w15:chartTrackingRefBased/>
  <w15:docId w15:val="{E67B8D59-4F6E-4F34-89C2-0A299C5B9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852AF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unhideWhenUsed/>
    <w:qFormat/>
    <w:rsid w:val="00852AF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unhideWhenUsed/>
    <w:qFormat/>
    <w:rsid w:val="00852AF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852AF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852AF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852AF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852AF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852AF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852AF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852AF6"/>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rsid w:val="00852AF6"/>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rsid w:val="00852AF6"/>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852AF6"/>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852AF6"/>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852AF6"/>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852AF6"/>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852AF6"/>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852AF6"/>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852AF6"/>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852AF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52A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852AF6"/>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852AF6"/>
    <w:pPr>
      <w:spacing w:before="160"/>
      <w:jc w:val="center"/>
    </w:pPr>
    <w:rPr>
      <w:i/>
      <w:iCs/>
      <w:color w:val="404040" w:themeColor="text1" w:themeTint="BF"/>
    </w:rPr>
  </w:style>
  <w:style w:type="character" w:customStyle="1" w:styleId="Char1">
    <w:name w:val="인용 Char"/>
    <w:basedOn w:val="a0"/>
    <w:link w:val="a5"/>
    <w:uiPriority w:val="29"/>
    <w:rsid w:val="00852AF6"/>
    <w:rPr>
      <w:i/>
      <w:iCs/>
      <w:color w:val="404040" w:themeColor="text1" w:themeTint="BF"/>
    </w:rPr>
  </w:style>
  <w:style w:type="paragraph" w:styleId="a6">
    <w:name w:val="List Paragraph"/>
    <w:basedOn w:val="a"/>
    <w:uiPriority w:val="34"/>
    <w:qFormat/>
    <w:rsid w:val="00852AF6"/>
    <w:pPr>
      <w:ind w:left="720"/>
      <w:contextualSpacing/>
    </w:pPr>
  </w:style>
  <w:style w:type="character" w:styleId="a7">
    <w:name w:val="Intense Emphasis"/>
    <w:basedOn w:val="a0"/>
    <w:uiPriority w:val="21"/>
    <w:qFormat/>
    <w:rsid w:val="00852AF6"/>
    <w:rPr>
      <w:i/>
      <w:iCs/>
      <w:color w:val="0F4761" w:themeColor="accent1" w:themeShade="BF"/>
    </w:rPr>
  </w:style>
  <w:style w:type="paragraph" w:styleId="a8">
    <w:name w:val="Intense Quote"/>
    <w:basedOn w:val="a"/>
    <w:next w:val="a"/>
    <w:link w:val="Char2"/>
    <w:uiPriority w:val="30"/>
    <w:qFormat/>
    <w:rsid w:val="00852A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852AF6"/>
    <w:rPr>
      <w:i/>
      <w:iCs/>
      <w:color w:val="0F4761" w:themeColor="accent1" w:themeShade="BF"/>
    </w:rPr>
  </w:style>
  <w:style w:type="character" w:styleId="a9">
    <w:name w:val="Intense Reference"/>
    <w:basedOn w:val="a0"/>
    <w:uiPriority w:val="32"/>
    <w:qFormat/>
    <w:rsid w:val="00852AF6"/>
    <w:rPr>
      <w:b/>
      <w:bCs/>
      <w:smallCaps/>
      <w:color w:val="0F4761" w:themeColor="accent1" w:themeShade="BF"/>
      <w:spacing w:val="5"/>
    </w:rPr>
  </w:style>
  <w:style w:type="paragraph" w:customStyle="1" w:styleId="msonormal0">
    <w:name w:val="msonormal"/>
    <w:basedOn w:val="a"/>
    <w:rsid w:val="00852AF6"/>
    <w:pPr>
      <w:widowControl/>
      <w:wordWrap/>
      <w:autoSpaceDE/>
      <w:autoSpaceDN/>
      <w:spacing w:before="100" w:beforeAutospacing="1" w:after="100" w:afterAutospacing="1"/>
    </w:pPr>
    <w:rPr>
      <w:rFonts w:ascii="굴림" w:eastAsia="굴림" w:hAnsi="굴림" w:cs="굴림"/>
      <w:kern w:val="0"/>
      <w:sz w:val="24"/>
      <w14:ligatures w14:val="none"/>
    </w:rPr>
  </w:style>
  <w:style w:type="paragraph" w:styleId="aa">
    <w:name w:val="Normal (Web)"/>
    <w:basedOn w:val="a"/>
    <w:uiPriority w:val="99"/>
    <w:semiHidden/>
    <w:unhideWhenUsed/>
    <w:rsid w:val="00852AF6"/>
    <w:pPr>
      <w:widowControl/>
      <w:wordWrap/>
      <w:autoSpaceDE/>
      <w:autoSpaceDN/>
      <w:spacing w:before="100" w:beforeAutospacing="1" w:after="100" w:afterAutospacing="1"/>
    </w:pPr>
    <w:rPr>
      <w:rFonts w:ascii="굴림" w:eastAsia="굴림" w:hAnsi="굴림" w:cs="굴림"/>
      <w:kern w:val="0"/>
      <w:sz w:val="24"/>
      <w14:ligatures w14:val="none"/>
    </w:rPr>
  </w:style>
  <w:style w:type="character" w:styleId="ab">
    <w:name w:val="Strong"/>
    <w:basedOn w:val="a0"/>
    <w:uiPriority w:val="22"/>
    <w:qFormat/>
    <w:rsid w:val="00852AF6"/>
    <w:rPr>
      <w:b/>
      <w:bCs/>
    </w:rPr>
  </w:style>
  <w:style w:type="character" w:customStyle="1" w:styleId="katex-display">
    <w:name w:val="katex-display"/>
    <w:basedOn w:val="a0"/>
    <w:rsid w:val="00852AF6"/>
  </w:style>
  <w:style w:type="character" w:customStyle="1" w:styleId="katex">
    <w:name w:val="katex"/>
    <w:basedOn w:val="a0"/>
    <w:rsid w:val="00852AF6"/>
  </w:style>
  <w:style w:type="character" w:customStyle="1" w:styleId="katex-mathml">
    <w:name w:val="katex-mathml"/>
    <w:basedOn w:val="a0"/>
    <w:rsid w:val="00852AF6"/>
  </w:style>
  <w:style w:type="character" w:customStyle="1" w:styleId="katex-html">
    <w:name w:val="katex-html"/>
    <w:basedOn w:val="a0"/>
    <w:rsid w:val="00852AF6"/>
  </w:style>
  <w:style w:type="character" w:customStyle="1" w:styleId="base">
    <w:name w:val="base"/>
    <w:basedOn w:val="a0"/>
    <w:rsid w:val="00852AF6"/>
  </w:style>
  <w:style w:type="character" w:customStyle="1" w:styleId="strut">
    <w:name w:val="strut"/>
    <w:basedOn w:val="a0"/>
    <w:rsid w:val="00852AF6"/>
  </w:style>
  <w:style w:type="character" w:customStyle="1" w:styleId="mord">
    <w:name w:val="mord"/>
    <w:basedOn w:val="a0"/>
    <w:rsid w:val="00852AF6"/>
  </w:style>
  <w:style w:type="character" w:customStyle="1" w:styleId="mspace">
    <w:name w:val="mspace"/>
    <w:basedOn w:val="a0"/>
    <w:rsid w:val="00852AF6"/>
  </w:style>
  <w:style w:type="character" w:customStyle="1" w:styleId="mrel">
    <w:name w:val="mrel"/>
    <w:basedOn w:val="a0"/>
    <w:rsid w:val="00852AF6"/>
  </w:style>
  <w:style w:type="character" w:customStyle="1" w:styleId="msupsub">
    <w:name w:val="msupsub"/>
    <w:basedOn w:val="a0"/>
    <w:rsid w:val="00852AF6"/>
  </w:style>
  <w:style w:type="character" w:customStyle="1" w:styleId="vlist-t">
    <w:name w:val="vlist-t"/>
    <w:basedOn w:val="a0"/>
    <w:rsid w:val="00852AF6"/>
  </w:style>
  <w:style w:type="character" w:customStyle="1" w:styleId="vlist-r">
    <w:name w:val="vlist-r"/>
    <w:basedOn w:val="a0"/>
    <w:rsid w:val="00852AF6"/>
  </w:style>
  <w:style w:type="character" w:customStyle="1" w:styleId="vlist">
    <w:name w:val="vlist"/>
    <w:basedOn w:val="a0"/>
    <w:rsid w:val="00852AF6"/>
  </w:style>
  <w:style w:type="character" w:customStyle="1" w:styleId="pstrut">
    <w:name w:val="pstrut"/>
    <w:basedOn w:val="a0"/>
    <w:rsid w:val="00852AF6"/>
  </w:style>
  <w:style w:type="character" w:customStyle="1" w:styleId="sizing">
    <w:name w:val="sizing"/>
    <w:basedOn w:val="a0"/>
    <w:rsid w:val="00852AF6"/>
  </w:style>
  <w:style w:type="character" w:customStyle="1" w:styleId="vlist-s">
    <w:name w:val="vlist-s"/>
    <w:basedOn w:val="a0"/>
    <w:rsid w:val="00852AF6"/>
  </w:style>
  <w:style w:type="character" w:customStyle="1" w:styleId="mbin">
    <w:name w:val="mbin"/>
    <w:basedOn w:val="a0"/>
    <w:rsid w:val="00852AF6"/>
  </w:style>
  <w:style w:type="character" w:customStyle="1" w:styleId="mopen">
    <w:name w:val="mopen"/>
    <w:basedOn w:val="a0"/>
    <w:rsid w:val="00852AF6"/>
  </w:style>
  <w:style w:type="character" w:customStyle="1" w:styleId="mfrac">
    <w:name w:val="mfrac"/>
    <w:basedOn w:val="a0"/>
    <w:rsid w:val="00852AF6"/>
  </w:style>
  <w:style w:type="character" w:customStyle="1" w:styleId="mpunct">
    <w:name w:val="mpunct"/>
    <w:basedOn w:val="a0"/>
    <w:rsid w:val="00852AF6"/>
  </w:style>
  <w:style w:type="character" w:customStyle="1" w:styleId="frac-line">
    <w:name w:val="frac-line"/>
    <w:basedOn w:val="a0"/>
    <w:rsid w:val="00852AF6"/>
  </w:style>
  <w:style w:type="character" w:customStyle="1" w:styleId="mclose">
    <w:name w:val="mclose"/>
    <w:basedOn w:val="a0"/>
    <w:rsid w:val="00852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4586</Words>
  <Characters>29079</Characters>
  <Application>Microsoft Office Word</Application>
  <DocSecurity>0</DocSecurity>
  <Lines>938</Lines>
  <Paragraphs>841</Paragraphs>
  <ScaleCrop>false</ScaleCrop>
  <Company/>
  <LinksUpToDate>false</LinksUpToDate>
  <CharactersWithSpaces>32824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선린 김</dc:creator>
  <cp:keywords/>
  <dc:description/>
  <cp:lastModifiedBy>선린 김</cp:lastModifiedBy>
  <cp:revision>2</cp:revision>
  <dcterms:created xsi:type="dcterms:W3CDTF">2026-05-08T05:06:00Z</dcterms:created>
  <dcterms:modified xsi:type="dcterms:W3CDTF">2026-05-08T05:06:00Z</dcterms:modified>
</cp:coreProperties>
</file>